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1"/>
        <w:gridCol w:w="8549"/>
      </w:tblGrid>
      <w:tr w:rsidR="000D53A1" w:rsidRPr="004C30C0" w:rsidTr="00875E89">
        <w:tc>
          <w:tcPr>
            <w:tcW w:w="2268" w:type="dxa"/>
            <w:vAlign w:val="center"/>
          </w:tcPr>
          <w:p w:rsidR="000D53A1" w:rsidRPr="004C30C0" w:rsidRDefault="000D53A1" w:rsidP="00875E89">
            <w:pPr>
              <w:jc w:val="center"/>
              <w:rPr>
                <w:sz w:val="20"/>
                <w:szCs w:val="20"/>
              </w:rPr>
            </w:pPr>
            <w:bookmarkStart w:id="0" w:name="OLE_LINK1"/>
            <w:bookmarkStart w:id="1" w:name="OLE_LINK2"/>
            <w:r w:rsidRPr="004C30C0">
              <w:rPr>
                <w:noProof/>
                <w:sz w:val="20"/>
                <w:szCs w:val="20"/>
                <w:lang w:bidi="ar-SA"/>
              </w:rPr>
              <w:drawing>
                <wp:inline distT="0" distB="0" distL="0" distR="0" wp14:anchorId="5623871A" wp14:editId="2C02C9D6">
                  <wp:extent cx="900255" cy="1088680"/>
                  <wp:effectExtent l="19050" t="0" r="0" b="0"/>
                  <wp:docPr id="2" name="Picture 1" descr="http://www.ric.edu/webcommunications/images/SealWithText_Small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www.ric.edu/webcommunications/images/SealWithText_Small_Black.png"/>
                          <pic:cNvPicPr>
                            <a:picLocks noChangeAspect="1" noChangeArrowheads="1"/>
                          </pic:cNvPicPr>
                        </pic:nvPicPr>
                        <pic:blipFill>
                          <a:blip r:embed="rId9" r:link="rId10" cstate="print"/>
                          <a:srcRect/>
                          <a:stretch>
                            <a:fillRect/>
                          </a:stretch>
                        </pic:blipFill>
                        <pic:spPr bwMode="auto">
                          <a:xfrm>
                            <a:off x="0" y="0"/>
                            <a:ext cx="898917" cy="1087062"/>
                          </a:xfrm>
                          <a:prstGeom prst="rect">
                            <a:avLst/>
                          </a:prstGeom>
                          <a:noFill/>
                          <a:ln w="9525">
                            <a:noFill/>
                            <a:miter lim="800000"/>
                            <a:headEnd/>
                            <a:tailEnd/>
                          </a:ln>
                        </pic:spPr>
                      </pic:pic>
                    </a:graphicData>
                  </a:graphic>
                </wp:inline>
              </w:drawing>
            </w:r>
          </w:p>
        </w:tc>
        <w:tc>
          <w:tcPr>
            <w:tcW w:w="8748" w:type="dxa"/>
          </w:tcPr>
          <w:p w:rsidR="000D53A1" w:rsidRPr="004C30C0" w:rsidRDefault="000D53A1" w:rsidP="00875E89">
            <w:pPr>
              <w:pStyle w:val="Heading1"/>
              <w:outlineLvl w:val="0"/>
              <w:rPr>
                <w:b/>
                <w:sz w:val="20"/>
                <w:szCs w:val="20"/>
              </w:rPr>
            </w:pPr>
            <w:r w:rsidRPr="004C30C0">
              <w:rPr>
                <w:b/>
                <w:sz w:val="20"/>
                <w:szCs w:val="20"/>
              </w:rPr>
              <w:t>Rhode Island College</w:t>
            </w:r>
          </w:p>
          <w:p w:rsidR="000D53A1" w:rsidRPr="004C30C0" w:rsidRDefault="000D53A1" w:rsidP="00875E89">
            <w:pPr>
              <w:pStyle w:val="Heading2"/>
              <w:spacing w:before="0"/>
              <w:outlineLvl w:val="1"/>
              <w:rPr>
                <w:sz w:val="20"/>
                <w:szCs w:val="20"/>
              </w:rPr>
            </w:pPr>
            <w:r w:rsidRPr="004C30C0">
              <w:rPr>
                <w:sz w:val="20"/>
                <w:szCs w:val="20"/>
              </w:rPr>
              <w:t>Feinstein School of Education and Human Development</w:t>
            </w:r>
          </w:p>
          <w:p w:rsidR="000D53A1" w:rsidRPr="004C30C0" w:rsidRDefault="000D53A1" w:rsidP="00875E89">
            <w:pPr>
              <w:pStyle w:val="Heading3"/>
              <w:spacing w:before="0"/>
              <w:outlineLvl w:val="2"/>
              <w:rPr>
                <w:sz w:val="20"/>
                <w:szCs w:val="20"/>
              </w:rPr>
            </w:pPr>
            <w:r w:rsidRPr="004C30C0">
              <w:rPr>
                <w:sz w:val="20"/>
                <w:szCs w:val="20"/>
              </w:rPr>
              <w:t>SED 548: Science Methods in Secondary Schools</w:t>
            </w:r>
          </w:p>
        </w:tc>
      </w:tr>
      <w:bookmarkEnd w:id="0"/>
      <w:bookmarkEnd w:id="1"/>
    </w:tbl>
    <w:p w:rsidR="000D53A1" w:rsidRPr="004C30C0" w:rsidRDefault="000D53A1" w:rsidP="000D53A1">
      <w:pPr>
        <w:rPr>
          <w:sz w:val="20"/>
          <w:szCs w:val="20"/>
        </w:rPr>
      </w:pPr>
    </w:p>
    <w:p w:rsidR="000D53A1" w:rsidRPr="004C30C0" w:rsidRDefault="000D53A1" w:rsidP="000D53A1">
      <w:pPr>
        <w:pStyle w:val="Heading5"/>
        <w:rPr>
          <w:sz w:val="20"/>
          <w:szCs w:val="20"/>
        </w:rPr>
      </w:pPr>
      <w:r w:rsidRPr="004C30C0">
        <w:rPr>
          <w:sz w:val="20"/>
          <w:szCs w:val="20"/>
        </w:rPr>
        <w:t>Course Information</w:t>
      </w:r>
    </w:p>
    <w:p w:rsidR="000D53A1" w:rsidRPr="004C30C0" w:rsidRDefault="000D53A1" w:rsidP="000D53A1">
      <w:pPr>
        <w:spacing w:after="0" w:line="288" w:lineRule="auto"/>
        <w:rPr>
          <w:sz w:val="20"/>
          <w:szCs w:val="20"/>
        </w:rPr>
      </w:pPr>
      <w:r w:rsidRPr="004C30C0">
        <w:rPr>
          <w:sz w:val="20"/>
          <w:szCs w:val="20"/>
        </w:rPr>
        <w:t>This course will focus on the implications and applications of the Next Generation Science Standards.</w:t>
      </w:r>
    </w:p>
    <w:p w:rsidR="000D53A1" w:rsidRPr="004C30C0" w:rsidRDefault="000D53A1" w:rsidP="000D53A1">
      <w:pPr>
        <w:spacing w:after="0" w:line="288" w:lineRule="auto"/>
        <w:rPr>
          <w:sz w:val="20"/>
          <w:szCs w:val="20"/>
        </w:rPr>
      </w:pPr>
    </w:p>
    <w:p w:rsidR="000D53A1" w:rsidRPr="004C30C0" w:rsidRDefault="000D53A1" w:rsidP="000D53A1">
      <w:pPr>
        <w:spacing w:after="0" w:line="288" w:lineRule="auto"/>
        <w:rPr>
          <w:sz w:val="20"/>
          <w:szCs w:val="20"/>
        </w:rPr>
      </w:pPr>
      <w:r w:rsidRPr="004C30C0">
        <w:rPr>
          <w:sz w:val="20"/>
          <w:szCs w:val="20"/>
        </w:rPr>
        <w:t>Instructor</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Dr. Rudolf Kraus</w:t>
      </w:r>
    </w:p>
    <w:p w:rsidR="000D53A1" w:rsidRPr="004C30C0" w:rsidRDefault="000D53A1" w:rsidP="000D53A1">
      <w:pPr>
        <w:spacing w:after="0" w:line="288" w:lineRule="auto"/>
        <w:rPr>
          <w:sz w:val="20"/>
          <w:szCs w:val="20"/>
        </w:rPr>
      </w:pPr>
      <w:r w:rsidRPr="004C30C0">
        <w:rPr>
          <w:sz w:val="20"/>
          <w:szCs w:val="20"/>
        </w:rPr>
        <w:t>Teaching Assistant</w:t>
      </w:r>
      <w:r w:rsidRPr="004C30C0">
        <w:rPr>
          <w:sz w:val="20"/>
          <w:szCs w:val="20"/>
        </w:rPr>
        <w:tab/>
      </w:r>
      <w:r w:rsidRPr="004C30C0">
        <w:rPr>
          <w:sz w:val="20"/>
          <w:szCs w:val="20"/>
        </w:rPr>
        <w:tab/>
      </w:r>
      <w:r w:rsidRPr="004C30C0">
        <w:rPr>
          <w:sz w:val="20"/>
          <w:szCs w:val="20"/>
        </w:rPr>
        <w:tab/>
      </w:r>
      <w:r w:rsidRPr="004C30C0">
        <w:rPr>
          <w:sz w:val="20"/>
          <w:szCs w:val="20"/>
        </w:rPr>
        <w:tab/>
        <w:t>Lesley</w:t>
      </w:r>
      <w:r>
        <w:rPr>
          <w:sz w:val="20"/>
          <w:szCs w:val="20"/>
        </w:rPr>
        <w:t xml:space="preserve"> J.</w:t>
      </w:r>
      <w:r w:rsidRPr="004C30C0">
        <w:rPr>
          <w:sz w:val="20"/>
          <w:szCs w:val="20"/>
        </w:rPr>
        <w:t xml:space="preserve"> Shapiro</w:t>
      </w:r>
    </w:p>
    <w:p w:rsidR="000D53A1" w:rsidRPr="004C30C0" w:rsidRDefault="000D53A1" w:rsidP="000D53A1">
      <w:pPr>
        <w:spacing w:after="0" w:line="288" w:lineRule="auto"/>
        <w:rPr>
          <w:sz w:val="20"/>
          <w:szCs w:val="20"/>
        </w:rPr>
      </w:pPr>
      <w:r w:rsidRPr="004C30C0">
        <w:rPr>
          <w:sz w:val="20"/>
          <w:szCs w:val="20"/>
        </w:rPr>
        <w:t>Office:</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Henry Barnard School, Rm. 206-6</w:t>
      </w:r>
    </w:p>
    <w:p w:rsidR="000D53A1" w:rsidRPr="004C30C0" w:rsidRDefault="000D53A1" w:rsidP="000D53A1">
      <w:pPr>
        <w:spacing w:after="0" w:line="288" w:lineRule="auto"/>
        <w:rPr>
          <w:sz w:val="20"/>
          <w:szCs w:val="20"/>
        </w:rPr>
      </w:pPr>
      <w:r w:rsidRPr="004C30C0">
        <w:rPr>
          <w:sz w:val="20"/>
          <w:szCs w:val="20"/>
        </w:rPr>
        <w:t>E-mail:</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hyperlink r:id="rId11" w:history="1">
        <w:r w:rsidRPr="004C30C0">
          <w:rPr>
            <w:sz w:val="20"/>
            <w:szCs w:val="20"/>
          </w:rPr>
          <w:t>rkraus@ric.edu</w:t>
        </w:r>
      </w:hyperlink>
    </w:p>
    <w:p w:rsidR="000D53A1" w:rsidRPr="004C30C0" w:rsidRDefault="000D53A1" w:rsidP="000D53A1">
      <w:pPr>
        <w:spacing w:after="0" w:line="288" w:lineRule="auto"/>
        <w:rPr>
          <w:sz w:val="20"/>
          <w:szCs w:val="20"/>
        </w:rPr>
      </w:pPr>
      <w:r w:rsidRPr="004C30C0">
        <w:rPr>
          <w:sz w:val="20"/>
          <w:szCs w:val="20"/>
        </w:rPr>
        <w:t>Office Phone:</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401-456-8996</w:t>
      </w:r>
    </w:p>
    <w:p w:rsidR="000D53A1" w:rsidRPr="004C30C0" w:rsidRDefault="000D53A1" w:rsidP="000D53A1">
      <w:pPr>
        <w:spacing w:after="0" w:line="288" w:lineRule="auto"/>
        <w:rPr>
          <w:sz w:val="20"/>
          <w:szCs w:val="20"/>
        </w:rPr>
      </w:pPr>
      <w:r w:rsidRPr="004C30C0">
        <w:rPr>
          <w:sz w:val="20"/>
          <w:szCs w:val="20"/>
        </w:rPr>
        <w:t xml:space="preserve">Office Hours: </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 xml:space="preserve">after class, or by appointment </w:t>
      </w:r>
    </w:p>
    <w:p w:rsidR="000D53A1" w:rsidRPr="004C30C0" w:rsidRDefault="000D53A1" w:rsidP="000D53A1">
      <w:pPr>
        <w:spacing w:after="0" w:line="288" w:lineRule="auto"/>
        <w:rPr>
          <w:sz w:val="20"/>
          <w:szCs w:val="20"/>
        </w:rPr>
      </w:pPr>
      <w:r w:rsidRPr="004C30C0">
        <w:rPr>
          <w:sz w:val="20"/>
          <w:szCs w:val="20"/>
        </w:rPr>
        <w:t>Class schedule:</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Thursdays, 4-6:50</w:t>
      </w:r>
    </w:p>
    <w:p w:rsidR="00D94A3D" w:rsidRPr="004C30C0" w:rsidRDefault="00D94A3D" w:rsidP="00D94A3D">
      <w:pPr>
        <w:spacing w:after="0" w:line="288" w:lineRule="auto"/>
        <w:ind w:firstLine="720"/>
        <w:rPr>
          <w:sz w:val="20"/>
          <w:szCs w:val="20"/>
        </w:rPr>
      </w:pPr>
    </w:p>
    <w:tbl>
      <w:tblPr>
        <w:tblStyle w:val="TableGrid"/>
        <w:tblW w:w="0" w:type="auto"/>
        <w:tblLook w:val="04A0" w:firstRow="1" w:lastRow="0" w:firstColumn="1" w:lastColumn="0" w:noHBand="0" w:noVBand="1"/>
      </w:tblPr>
      <w:tblGrid>
        <w:gridCol w:w="6318"/>
        <w:gridCol w:w="4141"/>
      </w:tblGrid>
      <w:tr w:rsidR="00D94A3D" w:rsidRPr="004C30C0" w:rsidTr="00E45BDA">
        <w:tc>
          <w:tcPr>
            <w:tcW w:w="6318" w:type="dxa"/>
          </w:tcPr>
          <w:p w:rsidR="00D94A3D" w:rsidRPr="004C30C0" w:rsidRDefault="00D94A3D" w:rsidP="00E45BDA">
            <w:pPr>
              <w:rPr>
                <w:rStyle w:val="SubtleReference"/>
                <w:sz w:val="20"/>
                <w:szCs w:val="20"/>
              </w:rPr>
            </w:pPr>
            <w:r w:rsidRPr="004C30C0">
              <w:rPr>
                <w:rStyle w:val="SubtleReference"/>
                <w:sz w:val="20"/>
                <w:szCs w:val="20"/>
              </w:rPr>
              <w:t>Learning Objective</w:t>
            </w:r>
          </w:p>
        </w:tc>
        <w:tc>
          <w:tcPr>
            <w:tcW w:w="4141" w:type="dxa"/>
          </w:tcPr>
          <w:p w:rsidR="00D94A3D" w:rsidRPr="004C30C0" w:rsidRDefault="00D94A3D" w:rsidP="00E45BDA">
            <w:pPr>
              <w:rPr>
                <w:rStyle w:val="SubtleReference"/>
                <w:sz w:val="20"/>
                <w:szCs w:val="20"/>
              </w:rPr>
            </w:pPr>
            <w:r w:rsidRPr="004C30C0">
              <w:rPr>
                <w:rStyle w:val="SubtleReference"/>
                <w:sz w:val="20"/>
                <w:szCs w:val="20"/>
              </w:rPr>
              <w:t>How is it assessed?</w:t>
            </w:r>
          </w:p>
        </w:tc>
      </w:tr>
      <w:tr w:rsidR="00D94A3D" w:rsidRPr="004C30C0" w:rsidTr="00E45BDA">
        <w:tc>
          <w:tcPr>
            <w:tcW w:w="6318" w:type="dxa"/>
          </w:tcPr>
          <w:p w:rsidR="00D94A3D" w:rsidRPr="004C30C0" w:rsidRDefault="00D94A3D" w:rsidP="00E45BDA">
            <w:pPr>
              <w:rPr>
                <w:sz w:val="20"/>
                <w:szCs w:val="20"/>
              </w:rPr>
            </w:pPr>
            <w:r w:rsidRPr="004C30C0">
              <w:rPr>
                <w:sz w:val="20"/>
                <w:szCs w:val="20"/>
              </w:rPr>
              <w:t>1. SWBAT describe the reasons for a new set of science standards</w:t>
            </w:r>
          </w:p>
        </w:tc>
        <w:tc>
          <w:tcPr>
            <w:tcW w:w="4141" w:type="dxa"/>
          </w:tcPr>
          <w:p w:rsidR="00D94A3D" w:rsidRPr="004C30C0" w:rsidRDefault="00D721AD" w:rsidP="00E45BDA">
            <w:pPr>
              <w:rPr>
                <w:sz w:val="20"/>
                <w:szCs w:val="20"/>
              </w:rPr>
            </w:pPr>
            <w:r w:rsidRPr="004C30C0">
              <w:rPr>
                <w:sz w:val="20"/>
                <w:szCs w:val="20"/>
              </w:rPr>
              <w:t>Reflection I</w:t>
            </w:r>
            <w:r w:rsidR="004C30C0">
              <w:rPr>
                <w:sz w:val="20"/>
                <w:szCs w:val="20"/>
              </w:rPr>
              <w:t xml:space="preserve"> &amp; II</w:t>
            </w:r>
          </w:p>
        </w:tc>
      </w:tr>
      <w:tr w:rsidR="00D94A3D" w:rsidRPr="004C30C0" w:rsidTr="00E45BDA">
        <w:tc>
          <w:tcPr>
            <w:tcW w:w="6318" w:type="dxa"/>
          </w:tcPr>
          <w:p w:rsidR="00D94A3D" w:rsidRPr="004C30C0" w:rsidRDefault="00D94A3D" w:rsidP="00E45BDA">
            <w:pPr>
              <w:rPr>
                <w:sz w:val="20"/>
                <w:szCs w:val="20"/>
              </w:rPr>
            </w:pPr>
            <w:r w:rsidRPr="004C30C0">
              <w:rPr>
                <w:sz w:val="20"/>
                <w:szCs w:val="20"/>
              </w:rPr>
              <w:t>2. SWBAT evaluate the pros and cons of changing standards</w:t>
            </w:r>
          </w:p>
        </w:tc>
        <w:tc>
          <w:tcPr>
            <w:tcW w:w="4141" w:type="dxa"/>
          </w:tcPr>
          <w:p w:rsidR="00D94A3D" w:rsidRPr="004C30C0" w:rsidRDefault="00D721AD" w:rsidP="00E45BDA">
            <w:pPr>
              <w:rPr>
                <w:sz w:val="20"/>
                <w:szCs w:val="20"/>
              </w:rPr>
            </w:pPr>
            <w:r w:rsidRPr="004C30C0">
              <w:rPr>
                <w:sz w:val="20"/>
                <w:szCs w:val="20"/>
              </w:rPr>
              <w:t>Reflection III</w:t>
            </w:r>
          </w:p>
        </w:tc>
      </w:tr>
      <w:tr w:rsidR="00D94A3D" w:rsidRPr="004C30C0" w:rsidTr="00E45BDA">
        <w:tc>
          <w:tcPr>
            <w:tcW w:w="6318" w:type="dxa"/>
          </w:tcPr>
          <w:p w:rsidR="00D94A3D" w:rsidRPr="004C30C0" w:rsidRDefault="00D94A3D" w:rsidP="00E45BDA">
            <w:pPr>
              <w:rPr>
                <w:sz w:val="20"/>
                <w:szCs w:val="20"/>
              </w:rPr>
            </w:pPr>
            <w:r w:rsidRPr="004C30C0">
              <w:rPr>
                <w:sz w:val="20"/>
                <w:szCs w:val="20"/>
              </w:rPr>
              <w:t>3. SWBAT describe at least five characteristics of the science instruction suggested by the NGSS</w:t>
            </w:r>
          </w:p>
        </w:tc>
        <w:tc>
          <w:tcPr>
            <w:tcW w:w="4141" w:type="dxa"/>
          </w:tcPr>
          <w:p w:rsidR="00D94A3D" w:rsidRPr="004C30C0" w:rsidRDefault="00D94A3D" w:rsidP="00E45BDA">
            <w:pPr>
              <w:rPr>
                <w:sz w:val="20"/>
                <w:szCs w:val="20"/>
              </w:rPr>
            </w:pPr>
            <w:r w:rsidRPr="004C30C0">
              <w:rPr>
                <w:sz w:val="20"/>
                <w:szCs w:val="20"/>
              </w:rPr>
              <w:t>In-class discussion</w:t>
            </w:r>
            <w:r w:rsidR="004C30C0">
              <w:rPr>
                <w:sz w:val="20"/>
                <w:szCs w:val="20"/>
              </w:rPr>
              <w:t>, NGSS Aligned Lesson</w:t>
            </w:r>
          </w:p>
        </w:tc>
      </w:tr>
      <w:tr w:rsidR="00D94A3D" w:rsidRPr="004C30C0" w:rsidTr="00E45BDA">
        <w:tc>
          <w:tcPr>
            <w:tcW w:w="6318" w:type="dxa"/>
          </w:tcPr>
          <w:p w:rsidR="00D94A3D" w:rsidRPr="004C30C0" w:rsidRDefault="00D94A3D" w:rsidP="00D721AD">
            <w:pPr>
              <w:rPr>
                <w:sz w:val="20"/>
                <w:szCs w:val="20"/>
              </w:rPr>
            </w:pPr>
            <w:r w:rsidRPr="004C30C0">
              <w:rPr>
                <w:sz w:val="20"/>
                <w:szCs w:val="20"/>
              </w:rPr>
              <w:t xml:space="preserve">4. SWBAT </w:t>
            </w:r>
            <w:r w:rsidR="00D721AD" w:rsidRPr="004C30C0">
              <w:rPr>
                <w:sz w:val="20"/>
                <w:szCs w:val="20"/>
              </w:rPr>
              <w:t>analyze a curriculum for alignment to the NGSS</w:t>
            </w:r>
          </w:p>
        </w:tc>
        <w:tc>
          <w:tcPr>
            <w:tcW w:w="4141" w:type="dxa"/>
          </w:tcPr>
          <w:p w:rsidR="00D94A3D" w:rsidRPr="004C30C0" w:rsidRDefault="00D721AD" w:rsidP="00E45BDA">
            <w:pPr>
              <w:rPr>
                <w:sz w:val="20"/>
                <w:szCs w:val="20"/>
              </w:rPr>
            </w:pPr>
            <w:r w:rsidRPr="004C30C0">
              <w:rPr>
                <w:sz w:val="20"/>
                <w:szCs w:val="20"/>
              </w:rPr>
              <w:t>Alignment chart</w:t>
            </w:r>
          </w:p>
        </w:tc>
      </w:tr>
      <w:tr w:rsidR="00D94A3D" w:rsidRPr="004C30C0" w:rsidTr="00E45BDA">
        <w:tc>
          <w:tcPr>
            <w:tcW w:w="6318" w:type="dxa"/>
          </w:tcPr>
          <w:p w:rsidR="00D94A3D" w:rsidRPr="004C30C0" w:rsidRDefault="006954F7" w:rsidP="00E45BDA">
            <w:pPr>
              <w:rPr>
                <w:sz w:val="20"/>
                <w:szCs w:val="20"/>
              </w:rPr>
            </w:pPr>
            <w:r w:rsidRPr="004C30C0">
              <w:rPr>
                <w:sz w:val="20"/>
                <w:szCs w:val="20"/>
              </w:rPr>
              <w:t>5</w:t>
            </w:r>
            <w:r w:rsidR="00D94A3D" w:rsidRPr="004C30C0">
              <w:rPr>
                <w:sz w:val="20"/>
                <w:szCs w:val="20"/>
              </w:rPr>
              <w:t>. SWBAT revise a scope and sequence to be compatible with the NGSS</w:t>
            </w:r>
          </w:p>
        </w:tc>
        <w:tc>
          <w:tcPr>
            <w:tcW w:w="4141" w:type="dxa"/>
          </w:tcPr>
          <w:p w:rsidR="00D94A3D" w:rsidRPr="004C30C0" w:rsidRDefault="00D94A3D" w:rsidP="00E45BDA">
            <w:pPr>
              <w:rPr>
                <w:sz w:val="20"/>
                <w:szCs w:val="20"/>
              </w:rPr>
            </w:pPr>
            <w:r w:rsidRPr="004C30C0">
              <w:rPr>
                <w:sz w:val="20"/>
                <w:szCs w:val="20"/>
              </w:rPr>
              <w:t>Revised scope and sequence</w:t>
            </w:r>
          </w:p>
        </w:tc>
      </w:tr>
    </w:tbl>
    <w:p w:rsidR="00D94A3D" w:rsidRPr="004C30C0" w:rsidRDefault="00D94A3D" w:rsidP="00D94A3D">
      <w:pPr>
        <w:pStyle w:val="Heading5"/>
        <w:rPr>
          <w:sz w:val="20"/>
          <w:szCs w:val="20"/>
        </w:rPr>
      </w:pPr>
      <w:r w:rsidRPr="004C30C0">
        <w:rPr>
          <w:sz w:val="20"/>
          <w:szCs w:val="20"/>
        </w:rPr>
        <w:t>Course Texts and materials</w:t>
      </w:r>
    </w:p>
    <w:p w:rsidR="00D94A3D" w:rsidRPr="004C30C0" w:rsidRDefault="00D94A3D" w:rsidP="00D94A3D">
      <w:pPr>
        <w:rPr>
          <w:sz w:val="20"/>
          <w:szCs w:val="20"/>
        </w:rPr>
      </w:pPr>
      <w:r w:rsidRPr="004C30C0">
        <w:rPr>
          <w:sz w:val="20"/>
          <w:szCs w:val="20"/>
        </w:rPr>
        <w:t xml:space="preserve">There is a required textbook, the </w:t>
      </w:r>
      <w:r w:rsidRPr="004C30C0">
        <w:rPr>
          <w:sz w:val="20"/>
          <w:szCs w:val="20"/>
          <w:u w:val="single"/>
        </w:rPr>
        <w:t>Next Generation Science Standards</w:t>
      </w:r>
      <w:r w:rsidRPr="004C30C0">
        <w:rPr>
          <w:sz w:val="20"/>
          <w:szCs w:val="20"/>
        </w:rPr>
        <w:t xml:space="preserve">, (ISBN 978-0-309-27227-8) available at a discount to members through the NSTA Science Store, </w:t>
      </w:r>
      <w:hyperlink r:id="rId12" w:history="1">
        <w:r w:rsidRPr="004C30C0">
          <w:rPr>
            <w:sz w:val="20"/>
            <w:szCs w:val="20"/>
          </w:rPr>
          <w:t>http://www.nsta.org/store/product_detail.aspx?id=10.2505/9780309272278</w:t>
        </w:r>
      </w:hyperlink>
    </w:p>
    <w:p w:rsidR="00D94A3D" w:rsidRPr="004C30C0" w:rsidRDefault="00B92C2D" w:rsidP="00D94A3D">
      <w:pPr>
        <w:rPr>
          <w:sz w:val="20"/>
          <w:szCs w:val="20"/>
        </w:rPr>
      </w:pPr>
      <w:r w:rsidRPr="004C30C0">
        <w:rPr>
          <w:sz w:val="20"/>
          <w:szCs w:val="20"/>
        </w:rPr>
        <w:t>It is</w:t>
      </w:r>
      <w:r w:rsidR="006954F7" w:rsidRPr="004C30C0">
        <w:rPr>
          <w:sz w:val="20"/>
          <w:szCs w:val="20"/>
        </w:rPr>
        <w:t xml:space="preserve"> also available as an electronic resource online, or through the app store.</w:t>
      </w:r>
      <w:r w:rsidR="00D721AD" w:rsidRPr="004C30C0">
        <w:rPr>
          <w:sz w:val="20"/>
          <w:szCs w:val="20"/>
        </w:rPr>
        <w:t xml:space="preserve"> </w:t>
      </w:r>
      <w:r w:rsidR="00D94A3D" w:rsidRPr="004C30C0">
        <w:rPr>
          <w:sz w:val="20"/>
          <w:szCs w:val="20"/>
        </w:rPr>
        <w:t>All other readings will be provided.</w:t>
      </w:r>
    </w:p>
    <w:p w:rsidR="00D94A3D" w:rsidRPr="004C30C0" w:rsidRDefault="00D94A3D" w:rsidP="00D94A3D">
      <w:pPr>
        <w:pStyle w:val="Heading5"/>
        <w:rPr>
          <w:sz w:val="20"/>
          <w:szCs w:val="20"/>
        </w:rPr>
      </w:pPr>
      <w:r w:rsidRPr="004C30C0">
        <w:rPr>
          <w:sz w:val="20"/>
          <w:szCs w:val="20"/>
        </w:rPr>
        <w:t xml:space="preserve">Course </w:t>
      </w:r>
      <w:r w:rsidR="00E45BDA" w:rsidRPr="004C30C0">
        <w:rPr>
          <w:sz w:val="20"/>
          <w:szCs w:val="20"/>
        </w:rPr>
        <w:t>Overview</w:t>
      </w:r>
    </w:p>
    <w:tbl>
      <w:tblPr>
        <w:tblStyle w:val="TableGrid"/>
        <w:tblW w:w="0" w:type="auto"/>
        <w:tblLook w:val="04A0" w:firstRow="1" w:lastRow="0" w:firstColumn="1" w:lastColumn="0" w:noHBand="0" w:noVBand="1"/>
      </w:tblPr>
      <w:tblGrid>
        <w:gridCol w:w="1269"/>
        <w:gridCol w:w="3340"/>
        <w:gridCol w:w="3168"/>
        <w:gridCol w:w="3013"/>
      </w:tblGrid>
      <w:tr w:rsidR="00D94A3D" w:rsidRPr="004C30C0" w:rsidTr="002C07CD">
        <w:trPr>
          <w:trHeight w:val="20"/>
        </w:trPr>
        <w:tc>
          <w:tcPr>
            <w:tcW w:w="1278" w:type="dxa"/>
          </w:tcPr>
          <w:p w:rsidR="00D94A3D" w:rsidRPr="004C30C0" w:rsidRDefault="00D94A3D" w:rsidP="002C07CD">
            <w:pPr>
              <w:spacing w:line="240" w:lineRule="auto"/>
              <w:rPr>
                <w:rStyle w:val="SubtleReference"/>
                <w:sz w:val="20"/>
                <w:szCs w:val="20"/>
              </w:rPr>
            </w:pPr>
            <w:r w:rsidRPr="004C30C0">
              <w:rPr>
                <w:rStyle w:val="SubtleReference"/>
                <w:sz w:val="20"/>
                <w:szCs w:val="20"/>
              </w:rPr>
              <w:t>Day/week</w:t>
            </w:r>
          </w:p>
        </w:tc>
        <w:tc>
          <w:tcPr>
            <w:tcW w:w="3420" w:type="dxa"/>
          </w:tcPr>
          <w:p w:rsidR="00D94A3D" w:rsidRPr="004C30C0" w:rsidRDefault="00D94A3D" w:rsidP="002C07CD">
            <w:pPr>
              <w:spacing w:line="240" w:lineRule="auto"/>
              <w:rPr>
                <w:rStyle w:val="SubtleReference"/>
                <w:sz w:val="20"/>
                <w:szCs w:val="20"/>
              </w:rPr>
            </w:pPr>
            <w:r w:rsidRPr="004C30C0">
              <w:rPr>
                <w:rStyle w:val="SubtleReference"/>
                <w:sz w:val="20"/>
                <w:szCs w:val="20"/>
              </w:rPr>
              <w:t>Class topic</w:t>
            </w:r>
          </w:p>
        </w:tc>
        <w:tc>
          <w:tcPr>
            <w:tcW w:w="3240" w:type="dxa"/>
          </w:tcPr>
          <w:p w:rsidR="00D94A3D" w:rsidRPr="004C30C0" w:rsidRDefault="00D94A3D" w:rsidP="002C07CD">
            <w:pPr>
              <w:spacing w:line="240" w:lineRule="auto"/>
              <w:rPr>
                <w:rStyle w:val="SubtleReference"/>
                <w:sz w:val="20"/>
                <w:szCs w:val="20"/>
              </w:rPr>
            </w:pPr>
            <w:r w:rsidRPr="004C30C0">
              <w:rPr>
                <w:rStyle w:val="SubtleReference"/>
                <w:sz w:val="20"/>
                <w:szCs w:val="20"/>
              </w:rPr>
              <w:t xml:space="preserve">Readings </w:t>
            </w:r>
          </w:p>
        </w:tc>
        <w:tc>
          <w:tcPr>
            <w:tcW w:w="3078" w:type="dxa"/>
          </w:tcPr>
          <w:p w:rsidR="00D94A3D" w:rsidRPr="004C30C0" w:rsidRDefault="00D94A3D" w:rsidP="002C07CD">
            <w:pPr>
              <w:spacing w:line="240" w:lineRule="auto"/>
              <w:rPr>
                <w:rStyle w:val="SubtleReference"/>
                <w:sz w:val="20"/>
                <w:szCs w:val="20"/>
              </w:rPr>
            </w:pPr>
            <w:r w:rsidRPr="004C30C0">
              <w:rPr>
                <w:rStyle w:val="SubtleReference"/>
                <w:sz w:val="20"/>
                <w:szCs w:val="20"/>
              </w:rPr>
              <w:t xml:space="preserve">Assignments </w:t>
            </w:r>
          </w:p>
        </w:tc>
      </w:tr>
      <w:tr w:rsidR="00D94A3D" w:rsidRPr="004C30C0" w:rsidTr="002C07CD">
        <w:trPr>
          <w:trHeight w:val="20"/>
        </w:trPr>
        <w:tc>
          <w:tcPr>
            <w:tcW w:w="1278" w:type="dxa"/>
          </w:tcPr>
          <w:p w:rsidR="00D94A3D" w:rsidRPr="004C30C0" w:rsidRDefault="00D94A3D" w:rsidP="002C07CD">
            <w:pPr>
              <w:spacing w:line="240" w:lineRule="auto"/>
              <w:rPr>
                <w:sz w:val="20"/>
                <w:szCs w:val="20"/>
              </w:rPr>
            </w:pPr>
            <w:r w:rsidRPr="004C30C0">
              <w:rPr>
                <w:sz w:val="20"/>
                <w:szCs w:val="20"/>
              </w:rPr>
              <w:t>Week 1</w:t>
            </w:r>
            <w:r w:rsidR="00D721AD" w:rsidRPr="004C30C0">
              <w:rPr>
                <w:sz w:val="20"/>
                <w:szCs w:val="20"/>
              </w:rPr>
              <w:t>-3</w:t>
            </w:r>
          </w:p>
          <w:p w:rsidR="00D721AD" w:rsidRPr="004C30C0" w:rsidRDefault="00D721AD" w:rsidP="002C07CD">
            <w:pPr>
              <w:spacing w:line="240" w:lineRule="auto"/>
              <w:rPr>
                <w:sz w:val="20"/>
                <w:szCs w:val="20"/>
              </w:rPr>
            </w:pPr>
          </w:p>
        </w:tc>
        <w:tc>
          <w:tcPr>
            <w:tcW w:w="3420" w:type="dxa"/>
          </w:tcPr>
          <w:p w:rsidR="00D94A3D" w:rsidRPr="004C30C0" w:rsidRDefault="00D721AD" w:rsidP="002C07CD">
            <w:pPr>
              <w:spacing w:line="240" w:lineRule="auto"/>
              <w:rPr>
                <w:sz w:val="20"/>
                <w:szCs w:val="20"/>
              </w:rPr>
            </w:pPr>
            <w:r w:rsidRPr="004C30C0">
              <w:rPr>
                <w:sz w:val="20"/>
                <w:szCs w:val="20"/>
              </w:rPr>
              <w:t>Why change at all?</w:t>
            </w:r>
          </w:p>
        </w:tc>
        <w:tc>
          <w:tcPr>
            <w:tcW w:w="3240" w:type="dxa"/>
          </w:tcPr>
          <w:p w:rsidR="00D94A3D" w:rsidRPr="004C30C0" w:rsidRDefault="00D721AD" w:rsidP="002C07CD">
            <w:pPr>
              <w:spacing w:line="240" w:lineRule="auto"/>
              <w:rPr>
                <w:sz w:val="20"/>
                <w:szCs w:val="20"/>
              </w:rPr>
            </w:pPr>
            <w:r w:rsidRPr="004C30C0">
              <w:rPr>
                <w:sz w:val="20"/>
                <w:szCs w:val="20"/>
              </w:rPr>
              <w:t>Teaching Gap,  Hodson</w:t>
            </w:r>
          </w:p>
        </w:tc>
        <w:tc>
          <w:tcPr>
            <w:tcW w:w="3078" w:type="dxa"/>
          </w:tcPr>
          <w:p w:rsidR="00D94A3D" w:rsidRPr="004C30C0" w:rsidRDefault="00D721AD" w:rsidP="002C07CD">
            <w:pPr>
              <w:spacing w:line="240" w:lineRule="auto"/>
              <w:rPr>
                <w:sz w:val="20"/>
                <w:szCs w:val="20"/>
              </w:rPr>
            </w:pPr>
            <w:r w:rsidRPr="004C30C0">
              <w:rPr>
                <w:sz w:val="20"/>
                <w:szCs w:val="20"/>
              </w:rPr>
              <w:t>Reflection I</w:t>
            </w:r>
          </w:p>
        </w:tc>
      </w:tr>
      <w:tr w:rsidR="00D94A3D" w:rsidRPr="004C30C0" w:rsidTr="002C07CD">
        <w:trPr>
          <w:trHeight w:val="20"/>
        </w:trPr>
        <w:tc>
          <w:tcPr>
            <w:tcW w:w="1278" w:type="dxa"/>
          </w:tcPr>
          <w:p w:rsidR="00D94A3D" w:rsidRPr="004C30C0" w:rsidRDefault="00D721AD" w:rsidP="002C07CD">
            <w:pPr>
              <w:spacing w:line="240" w:lineRule="auto"/>
              <w:rPr>
                <w:sz w:val="20"/>
                <w:szCs w:val="20"/>
              </w:rPr>
            </w:pPr>
            <w:r w:rsidRPr="004C30C0">
              <w:rPr>
                <w:sz w:val="20"/>
                <w:szCs w:val="20"/>
              </w:rPr>
              <w:t>Week 4</w:t>
            </w:r>
            <w:r w:rsidR="00146EF2" w:rsidRPr="004C30C0">
              <w:rPr>
                <w:sz w:val="20"/>
                <w:szCs w:val="20"/>
              </w:rPr>
              <w:t>-5</w:t>
            </w:r>
          </w:p>
          <w:p w:rsidR="00D721AD" w:rsidRPr="004C30C0" w:rsidRDefault="00D721AD" w:rsidP="002C07CD">
            <w:pPr>
              <w:spacing w:line="240" w:lineRule="auto"/>
              <w:rPr>
                <w:sz w:val="20"/>
                <w:szCs w:val="20"/>
              </w:rPr>
            </w:pPr>
          </w:p>
        </w:tc>
        <w:tc>
          <w:tcPr>
            <w:tcW w:w="3420" w:type="dxa"/>
          </w:tcPr>
          <w:p w:rsidR="00D94A3D" w:rsidRPr="004C30C0" w:rsidRDefault="00D721AD" w:rsidP="002C07CD">
            <w:pPr>
              <w:spacing w:line="240" w:lineRule="auto"/>
              <w:rPr>
                <w:sz w:val="20"/>
                <w:szCs w:val="20"/>
              </w:rPr>
            </w:pPr>
            <w:r w:rsidRPr="004C30C0">
              <w:rPr>
                <w:sz w:val="20"/>
                <w:szCs w:val="20"/>
              </w:rPr>
              <w:t>How do we manage change?</w:t>
            </w:r>
          </w:p>
        </w:tc>
        <w:tc>
          <w:tcPr>
            <w:tcW w:w="3240" w:type="dxa"/>
          </w:tcPr>
          <w:p w:rsidR="00D94A3D" w:rsidRPr="004C30C0" w:rsidRDefault="00D721AD" w:rsidP="002C07CD">
            <w:pPr>
              <w:spacing w:line="240" w:lineRule="auto"/>
              <w:rPr>
                <w:sz w:val="20"/>
                <w:szCs w:val="20"/>
              </w:rPr>
            </w:pPr>
            <w:r w:rsidRPr="004C30C0">
              <w:rPr>
                <w:sz w:val="20"/>
                <w:szCs w:val="20"/>
              </w:rPr>
              <w:t>Bupp’s change curve, Backus</w:t>
            </w:r>
          </w:p>
        </w:tc>
        <w:tc>
          <w:tcPr>
            <w:tcW w:w="3078" w:type="dxa"/>
          </w:tcPr>
          <w:p w:rsidR="00D94A3D" w:rsidRPr="004C30C0" w:rsidRDefault="00D721AD" w:rsidP="002C07CD">
            <w:pPr>
              <w:spacing w:line="240" w:lineRule="auto"/>
              <w:rPr>
                <w:sz w:val="20"/>
                <w:szCs w:val="20"/>
              </w:rPr>
            </w:pPr>
            <w:r w:rsidRPr="004C30C0">
              <w:rPr>
                <w:sz w:val="20"/>
                <w:szCs w:val="20"/>
              </w:rPr>
              <w:t>Reflection II</w:t>
            </w:r>
          </w:p>
        </w:tc>
      </w:tr>
      <w:tr w:rsidR="00D94A3D" w:rsidRPr="004C30C0" w:rsidTr="002C07CD">
        <w:trPr>
          <w:trHeight w:val="20"/>
        </w:trPr>
        <w:tc>
          <w:tcPr>
            <w:tcW w:w="1278" w:type="dxa"/>
          </w:tcPr>
          <w:p w:rsidR="00D94A3D" w:rsidRPr="004C30C0" w:rsidRDefault="00D94A3D" w:rsidP="002C07CD">
            <w:pPr>
              <w:spacing w:line="240" w:lineRule="auto"/>
              <w:rPr>
                <w:sz w:val="20"/>
                <w:szCs w:val="20"/>
              </w:rPr>
            </w:pPr>
            <w:r w:rsidRPr="004C30C0">
              <w:rPr>
                <w:sz w:val="20"/>
                <w:szCs w:val="20"/>
              </w:rPr>
              <w:t xml:space="preserve">Week </w:t>
            </w:r>
            <w:r w:rsidR="00146EF2" w:rsidRPr="004C30C0">
              <w:rPr>
                <w:sz w:val="20"/>
                <w:szCs w:val="20"/>
              </w:rPr>
              <w:t>6-8</w:t>
            </w:r>
          </w:p>
          <w:p w:rsidR="00D721AD" w:rsidRPr="004C30C0" w:rsidRDefault="00D721AD" w:rsidP="002C07CD">
            <w:pPr>
              <w:spacing w:line="240" w:lineRule="auto"/>
              <w:rPr>
                <w:sz w:val="20"/>
                <w:szCs w:val="20"/>
              </w:rPr>
            </w:pPr>
          </w:p>
        </w:tc>
        <w:tc>
          <w:tcPr>
            <w:tcW w:w="3420" w:type="dxa"/>
          </w:tcPr>
          <w:p w:rsidR="00D94A3D" w:rsidRPr="004C30C0" w:rsidRDefault="00D721AD" w:rsidP="002C07CD">
            <w:pPr>
              <w:spacing w:line="240" w:lineRule="auto"/>
              <w:rPr>
                <w:sz w:val="20"/>
                <w:szCs w:val="20"/>
              </w:rPr>
            </w:pPr>
            <w:r w:rsidRPr="004C30C0">
              <w:rPr>
                <w:sz w:val="20"/>
                <w:szCs w:val="20"/>
              </w:rPr>
              <w:t>Change to what?</w:t>
            </w:r>
          </w:p>
        </w:tc>
        <w:tc>
          <w:tcPr>
            <w:tcW w:w="3240" w:type="dxa"/>
          </w:tcPr>
          <w:p w:rsidR="00D94A3D" w:rsidRPr="004C30C0" w:rsidRDefault="00D721AD" w:rsidP="002C07CD">
            <w:pPr>
              <w:spacing w:line="240" w:lineRule="auto"/>
              <w:rPr>
                <w:sz w:val="20"/>
                <w:szCs w:val="20"/>
              </w:rPr>
            </w:pPr>
            <w:r w:rsidRPr="004C30C0">
              <w:rPr>
                <w:sz w:val="20"/>
                <w:szCs w:val="20"/>
              </w:rPr>
              <w:t>NGSS and Framework</w:t>
            </w:r>
          </w:p>
        </w:tc>
        <w:tc>
          <w:tcPr>
            <w:tcW w:w="3078" w:type="dxa"/>
          </w:tcPr>
          <w:p w:rsidR="00D94A3D" w:rsidRPr="004C30C0" w:rsidRDefault="00D721AD" w:rsidP="002C07CD">
            <w:pPr>
              <w:spacing w:line="240" w:lineRule="auto"/>
              <w:rPr>
                <w:sz w:val="20"/>
                <w:szCs w:val="20"/>
              </w:rPr>
            </w:pPr>
            <w:r w:rsidRPr="004C30C0">
              <w:rPr>
                <w:sz w:val="20"/>
                <w:szCs w:val="20"/>
              </w:rPr>
              <w:t>Reflection III and IV</w:t>
            </w:r>
          </w:p>
        </w:tc>
      </w:tr>
      <w:tr w:rsidR="00D94A3D" w:rsidRPr="004C30C0" w:rsidTr="002C07CD">
        <w:trPr>
          <w:trHeight w:val="20"/>
        </w:trPr>
        <w:tc>
          <w:tcPr>
            <w:tcW w:w="1278" w:type="dxa"/>
          </w:tcPr>
          <w:p w:rsidR="00D94A3D" w:rsidRPr="004C30C0" w:rsidRDefault="00D94A3D" w:rsidP="002C07CD">
            <w:pPr>
              <w:spacing w:line="240" w:lineRule="auto"/>
              <w:rPr>
                <w:sz w:val="20"/>
                <w:szCs w:val="20"/>
              </w:rPr>
            </w:pPr>
            <w:r w:rsidRPr="004C30C0">
              <w:rPr>
                <w:sz w:val="20"/>
                <w:szCs w:val="20"/>
              </w:rPr>
              <w:t xml:space="preserve">Week </w:t>
            </w:r>
            <w:r w:rsidR="00146EF2" w:rsidRPr="004C30C0">
              <w:rPr>
                <w:sz w:val="20"/>
                <w:szCs w:val="20"/>
              </w:rPr>
              <w:t>9</w:t>
            </w:r>
            <w:r w:rsidR="00D721AD" w:rsidRPr="004C30C0">
              <w:rPr>
                <w:sz w:val="20"/>
                <w:szCs w:val="20"/>
              </w:rPr>
              <w:t>-14</w:t>
            </w:r>
          </w:p>
        </w:tc>
        <w:tc>
          <w:tcPr>
            <w:tcW w:w="3420" w:type="dxa"/>
          </w:tcPr>
          <w:p w:rsidR="00D94A3D" w:rsidRPr="004C30C0" w:rsidRDefault="00D721AD" w:rsidP="002C07CD">
            <w:pPr>
              <w:spacing w:line="240" w:lineRule="auto"/>
              <w:rPr>
                <w:sz w:val="20"/>
                <w:szCs w:val="20"/>
              </w:rPr>
            </w:pPr>
            <w:r w:rsidRPr="004C30C0">
              <w:rPr>
                <w:sz w:val="20"/>
                <w:szCs w:val="20"/>
              </w:rPr>
              <w:t>How does this look in my classroom?</w:t>
            </w:r>
          </w:p>
        </w:tc>
        <w:tc>
          <w:tcPr>
            <w:tcW w:w="3240" w:type="dxa"/>
          </w:tcPr>
          <w:p w:rsidR="00D94A3D" w:rsidRPr="004C30C0" w:rsidRDefault="00D721AD" w:rsidP="002C07CD">
            <w:pPr>
              <w:spacing w:line="240" w:lineRule="auto"/>
              <w:rPr>
                <w:sz w:val="20"/>
                <w:szCs w:val="20"/>
              </w:rPr>
            </w:pPr>
            <w:r w:rsidRPr="004C30C0">
              <w:rPr>
                <w:sz w:val="20"/>
                <w:szCs w:val="20"/>
              </w:rPr>
              <w:t>Current curriculum and NGSS</w:t>
            </w:r>
          </w:p>
        </w:tc>
        <w:tc>
          <w:tcPr>
            <w:tcW w:w="3078" w:type="dxa"/>
          </w:tcPr>
          <w:p w:rsidR="00D94A3D" w:rsidRPr="004C30C0" w:rsidRDefault="00D721AD" w:rsidP="002C07CD">
            <w:pPr>
              <w:spacing w:line="240" w:lineRule="auto"/>
              <w:rPr>
                <w:sz w:val="20"/>
                <w:szCs w:val="20"/>
              </w:rPr>
            </w:pPr>
            <w:r w:rsidRPr="004C30C0">
              <w:rPr>
                <w:sz w:val="20"/>
                <w:szCs w:val="20"/>
              </w:rPr>
              <w:t>Scope and Sequence</w:t>
            </w:r>
          </w:p>
        </w:tc>
      </w:tr>
    </w:tbl>
    <w:p w:rsidR="00D94A3D" w:rsidRPr="004C30C0" w:rsidRDefault="00D94A3D" w:rsidP="002C07CD">
      <w:pPr>
        <w:pStyle w:val="Heading5"/>
        <w:spacing w:line="240" w:lineRule="auto"/>
        <w:rPr>
          <w:sz w:val="20"/>
          <w:szCs w:val="20"/>
        </w:rPr>
      </w:pPr>
      <w:r w:rsidRPr="004C30C0">
        <w:rPr>
          <w:sz w:val="20"/>
          <w:szCs w:val="20"/>
        </w:rPr>
        <w:t>Requirements</w:t>
      </w:r>
    </w:p>
    <w:p w:rsidR="00D94A3D" w:rsidRPr="004C30C0" w:rsidRDefault="00D94A3D" w:rsidP="002C07CD">
      <w:pPr>
        <w:spacing w:line="240" w:lineRule="auto"/>
        <w:rPr>
          <w:b/>
          <w:sz w:val="20"/>
          <w:szCs w:val="20"/>
        </w:rPr>
      </w:pPr>
      <w:r w:rsidRPr="004C30C0">
        <w:rPr>
          <w:sz w:val="20"/>
          <w:szCs w:val="20"/>
        </w:rPr>
        <w:t>SED 548 is a graduate education class, it should be treated as a professional obligation. As a result, absences are not acceptable unless an emergency arises. Should such a situation occur, please contact me by email or phone as soon as possible. On your 2</w:t>
      </w:r>
      <w:r w:rsidRPr="004C30C0">
        <w:rPr>
          <w:sz w:val="20"/>
          <w:szCs w:val="20"/>
          <w:vertAlign w:val="superscript"/>
        </w:rPr>
        <w:t>nd</w:t>
      </w:r>
      <w:r w:rsidRPr="004C30C0">
        <w:rPr>
          <w:sz w:val="20"/>
          <w:szCs w:val="20"/>
        </w:rPr>
        <w:t xml:space="preserve"> </w:t>
      </w:r>
      <w:r w:rsidR="00B92C2D" w:rsidRPr="004C30C0">
        <w:rPr>
          <w:sz w:val="20"/>
          <w:szCs w:val="20"/>
        </w:rPr>
        <w:t xml:space="preserve">unexcused </w:t>
      </w:r>
      <w:r w:rsidRPr="004C30C0">
        <w:rPr>
          <w:sz w:val="20"/>
          <w:szCs w:val="20"/>
        </w:rPr>
        <w:t>absence, 5 percentage points will be deducted from yo</w:t>
      </w:r>
      <w:r w:rsidR="00B92C2D" w:rsidRPr="004C30C0">
        <w:rPr>
          <w:sz w:val="20"/>
          <w:szCs w:val="20"/>
        </w:rPr>
        <w:t>ur final average – on your 3</w:t>
      </w:r>
      <w:r w:rsidR="00B92C2D" w:rsidRPr="004C30C0">
        <w:rPr>
          <w:sz w:val="20"/>
          <w:szCs w:val="20"/>
          <w:vertAlign w:val="superscript"/>
        </w:rPr>
        <w:t>rd</w:t>
      </w:r>
      <w:r w:rsidR="00B92C2D" w:rsidRPr="004C30C0">
        <w:rPr>
          <w:sz w:val="20"/>
          <w:szCs w:val="20"/>
        </w:rPr>
        <w:t xml:space="preserve"> unexcused</w:t>
      </w:r>
      <w:r w:rsidRPr="004C30C0">
        <w:rPr>
          <w:sz w:val="20"/>
          <w:szCs w:val="20"/>
        </w:rPr>
        <w:t xml:space="preserve"> absence, an additional 5 percentage points will be deducted from your final average– being in class means being present for the entire time. Your peers depend on you in several ways in this class.</w:t>
      </w:r>
    </w:p>
    <w:p w:rsidR="00D94A3D" w:rsidRPr="004C30C0" w:rsidRDefault="00D94A3D" w:rsidP="002C07CD">
      <w:pPr>
        <w:pStyle w:val="ListParagraph"/>
        <w:numPr>
          <w:ilvl w:val="0"/>
          <w:numId w:val="2"/>
        </w:numPr>
        <w:spacing w:line="240" w:lineRule="auto"/>
        <w:rPr>
          <w:sz w:val="20"/>
          <w:szCs w:val="20"/>
        </w:rPr>
      </w:pPr>
      <w:r w:rsidRPr="004C30C0">
        <w:rPr>
          <w:sz w:val="20"/>
          <w:szCs w:val="20"/>
        </w:rPr>
        <w:lastRenderedPageBreak/>
        <w:t xml:space="preserve">Academic Dishonesty Policy (Rhode Island College Handbook of Policies, Practices, and Regulations (Spring 2010),     Chapter 3:  Academic policies and procedures.  Pp. 32-34, section 3.9.1.): </w:t>
      </w:r>
      <w:hyperlink r:id="rId13" w:anchor="28" w:history="1">
        <w:r w:rsidRPr="004C30C0">
          <w:rPr>
            <w:sz w:val="20"/>
            <w:szCs w:val="20"/>
          </w:rPr>
          <w:t>http://www.ric.edu/administration/pdf/College_handbook_Chapter_3.pdf#28</w:t>
        </w:r>
      </w:hyperlink>
      <w:r w:rsidRPr="004C30C0">
        <w:rPr>
          <w:sz w:val="20"/>
          <w:szCs w:val="20"/>
        </w:rPr>
        <w:t xml:space="preserve"> </w:t>
      </w:r>
    </w:p>
    <w:p w:rsidR="00D94A3D" w:rsidRPr="004C30C0" w:rsidRDefault="00D94A3D" w:rsidP="002C07CD">
      <w:pPr>
        <w:pStyle w:val="ListParagraph"/>
        <w:numPr>
          <w:ilvl w:val="0"/>
          <w:numId w:val="2"/>
        </w:numPr>
        <w:spacing w:line="240" w:lineRule="auto"/>
        <w:rPr>
          <w:sz w:val="20"/>
          <w:szCs w:val="20"/>
        </w:rPr>
      </w:pPr>
      <w:r w:rsidRPr="004C30C0">
        <w:rPr>
          <w:sz w:val="20"/>
          <w:szCs w:val="20"/>
        </w:rPr>
        <w:t xml:space="preserve">Request for Reasonable Accommodations for Students with Disabilities: </w:t>
      </w:r>
      <w:hyperlink r:id="rId14" w:history="1">
        <w:r w:rsidRPr="004C30C0">
          <w:rPr>
            <w:sz w:val="20"/>
            <w:szCs w:val="20"/>
          </w:rPr>
          <w:t>http://www.ric.edu/disabilityservices/faq.php</w:t>
        </w:r>
      </w:hyperlink>
    </w:p>
    <w:p w:rsidR="00D94A3D" w:rsidRPr="004C30C0" w:rsidRDefault="00D94A3D" w:rsidP="002C07CD">
      <w:pPr>
        <w:pStyle w:val="ListParagraph"/>
        <w:numPr>
          <w:ilvl w:val="0"/>
          <w:numId w:val="2"/>
        </w:numPr>
        <w:spacing w:line="240" w:lineRule="auto"/>
        <w:rPr>
          <w:sz w:val="20"/>
          <w:szCs w:val="20"/>
        </w:rPr>
      </w:pPr>
      <w:r w:rsidRPr="004C30C0">
        <w:rPr>
          <w:sz w:val="20"/>
          <w:szCs w:val="20"/>
        </w:rPr>
        <w:t>The instructor reserves the right to change the syllabus at any point in the semester to accommodate learners’ needs and pace of progress.  Students will be notified in class of any changes.</w:t>
      </w:r>
    </w:p>
    <w:p w:rsidR="00D94A3D" w:rsidRPr="004C30C0" w:rsidRDefault="00D94A3D" w:rsidP="002C07CD">
      <w:pPr>
        <w:pStyle w:val="ListParagraph"/>
        <w:numPr>
          <w:ilvl w:val="0"/>
          <w:numId w:val="2"/>
        </w:numPr>
        <w:spacing w:line="240" w:lineRule="auto"/>
        <w:rPr>
          <w:sz w:val="20"/>
          <w:szCs w:val="20"/>
        </w:rPr>
      </w:pPr>
      <w:r w:rsidRPr="004C30C0">
        <w:rPr>
          <w:sz w:val="20"/>
          <w:szCs w:val="20"/>
        </w:rPr>
        <w:t xml:space="preserve">Students’ assignments may be duplicated and utilized anonymously for the Department’s program folios, for purposes of accreditation.  All information that identifies a document as belonging to a particular student will be removed before it is used. </w:t>
      </w:r>
      <w:r w:rsidRPr="004C30C0">
        <w:rPr>
          <w:sz w:val="20"/>
          <w:szCs w:val="20"/>
        </w:rPr>
        <w:tab/>
      </w:r>
    </w:p>
    <w:p w:rsidR="00D94A3D" w:rsidRPr="004C30C0" w:rsidRDefault="00D94A3D" w:rsidP="002C07CD">
      <w:pPr>
        <w:pStyle w:val="Heading5"/>
        <w:spacing w:line="240" w:lineRule="auto"/>
        <w:rPr>
          <w:sz w:val="20"/>
          <w:szCs w:val="20"/>
        </w:rPr>
      </w:pPr>
      <w:r w:rsidRPr="004C30C0">
        <w:rPr>
          <w:sz w:val="20"/>
          <w:szCs w:val="20"/>
        </w:rPr>
        <w:t>Grading</w:t>
      </w:r>
    </w:p>
    <w:p w:rsidR="00D94A3D" w:rsidRPr="004C30C0" w:rsidRDefault="00D94A3D" w:rsidP="002C07CD">
      <w:pPr>
        <w:spacing w:after="0" w:line="240" w:lineRule="auto"/>
        <w:ind w:firstLine="720"/>
        <w:rPr>
          <w:sz w:val="20"/>
          <w:szCs w:val="20"/>
        </w:rPr>
      </w:pPr>
      <w:r w:rsidRPr="004C30C0">
        <w:rPr>
          <w:sz w:val="20"/>
          <w:szCs w:val="20"/>
        </w:rPr>
        <w:t>Reaction Paper I</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10%</w:t>
      </w:r>
    </w:p>
    <w:p w:rsidR="00D94A3D" w:rsidRPr="004C30C0" w:rsidRDefault="00D94A3D" w:rsidP="002C07CD">
      <w:pPr>
        <w:spacing w:after="0" w:line="240" w:lineRule="auto"/>
        <w:ind w:firstLine="720"/>
        <w:rPr>
          <w:sz w:val="20"/>
          <w:szCs w:val="20"/>
        </w:rPr>
      </w:pPr>
      <w:r w:rsidRPr="004C30C0">
        <w:rPr>
          <w:sz w:val="20"/>
          <w:szCs w:val="20"/>
        </w:rPr>
        <w:t>Reaction Paper II</w:t>
      </w:r>
      <w:r w:rsidRPr="004C30C0">
        <w:rPr>
          <w:sz w:val="20"/>
          <w:szCs w:val="20"/>
        </w:rPr>
        <w:tab/>
      </w:r>
      <w:r w:rsidRPr="004C30C0">
        <w:rPr>
          <w:sz w:val="20"/>
          <w:szCs w:val="20"/>
        </w:rPr>
        <w:tab/>
      </w:r>
      <w:r w:rsidRPr="004C30C0">
        <w:rPr>
          <w:sz w:val="20"/>
          <w:szCs w:val="20"/>
        </w:rPr>
        <w:tab/>
      </w:r>
      <w:r w:rsidRPr="004C30C0">
        <w:rPr>
          <w:sz w:val="20"/>
          <w:szCs w:val="20"/>
        </w:rPr>
        <w:tab/>
        <w:t>10%</w:t>
      </w:r>
    </w:p>
    <w:p w:rsidR="006954F7" w:rsidRPr="004C30C0" w:rsidRDefault="006954F7" w:rsidP="002C07CD">
      <w:pPr>
        <w:spacing w:after="0" w:line="240" w:lineRule="auto"/>
        <w:ind w:firstLine="720"/>
        <w:rPr>
          <w:sz w:val="20"/>
          <w:szCs w:val="20"/>
        </w:rPr>
      </w:pPr>
      <w:r w:rsidRPr="004C30C0">
        <w:rPr>
          <w:sz w:val="20"/>
          <w:szCs w:val="20"/>
        </w:rPr>
        <w:t>Reaction Paper III</w:t>
      </w:r>
      <w:r w:rsidRPr="004C30C0">
        <w:rPr>
          <w:sz w:val="20"/>
          <w:szCs w:val="20"/>
        </w:rPr>
        <w:tab/>
      </w:r>
      <w:r w:rsidRPr="004C30C0">
        <w:rPr>
          <w:sz w:val="20"/>
          <w:szCs w:val="20"/>
        </w:rPr>
        <w:tab/>
      </w:r>
      <w:r w:rsidRPr="004C30C0">
        <w:rPr>
          <w:sz w:val="20"/>
          <w:szCs w:val="20"/>
        </w:rPr>
        <w:tab/>
      </w:r>
      <w:r w:rsidRPr="004C30C0">
        <w:rPr>
          <w:sz w:val="20"/>
          <w:szCs w:val="20"/>
        </w:rPr>
        <w:tab/>
        <w:t>10%</w:t>
      </w:r>
    </w:p>
    <w:p w:rsidR="00D94A3D" w:rsidRPr="004C30C0" w:rsidRDefault="00D94A3D" w:rsidP="002C07CD">
      <w:pPr>
        <w:spacing w:after="0" w:line="240" w:lineRule="auto"/>
        <w:ind w:firstLine="720"/>
        <w:rPr>
          <w:sz w:val="20"/>
          <w:szCs w:val="20"/>
        </w:rPr>
      </w:pPr>
      <w:r w:rsidRPr="004C30C0">
        <w:rPr>
          <w:sz w:val="20"/>
          <w:szCs w:val="20"/>
        </w:rPr>
        <w:t>NGSS compatible lesson</w:t>
      </w:r>
      <w:r w:rsidRPr="004C30C0">
        <w:rPr>
          <w:sz w:val="20"/>
          <w:szCs w:val="20"/>
        </w:rPr>
        <w:tab/>
      </w:r>
      <w:r w:rsidRPr="004C30C0">
        <w:rPr>
          <w:sz w:val="20"/>
          <w:szCs w:val="20"/>
        </w:rPr>
        <w:tab/>
      </w:r>
      <w:r w:rsidRPr="004C30C0">
        <w:rPr>
          <w:sz w:val="20"/>
          <w:szCs w:val="20"/>
        </w:rPr>
        <w:tab/>
      </w:r>
      <w:r w:rsidRPr="004C30C0">
        <w:rPr>
          <w:sz w:val="20"/>
          <w:szCs w:val="20"/>
        </w:rPr>
        <w:tab/>
      </w:r>
      <w:r w:rsidR="00852743" w:rsidRPr="004C30C0">
        <w:rPr>
          <w:sz w:val="20"/>
          <w:szCs w:val="20"/>
        </w:rPr>
        <w:t>2</w:t>
      </w:r>
      <w:r w:rsidRPr="004C30C0">
        <w:rPr>
          <w:sz w:val="20"/>
          <w:szCs w:val="20"/>
        </w:rPr>
        <w:t>0%</w:t>
      </w:r>
    </w:p>
    <w:p w:rsidR="00A31A19" w:rsidRPr="004C30C0" w:rsidRDefault="00A31A19" w:rsidP="002C07CD">
      <w:pPr>
        <w:spacing w:after="0" w:line="240" w:lineRule="auto"/>
        <w:rPr>
          <w:sz w:val="20"/>
          <w:szCs w:val="20"/>
        </w:rPr>
      </w:pPr>
      <w:r w:rsidRPr="004C30C0">
        <w:rPr>
          <w:sz w:val="20"/>
          <w:szCs w:val="20"/>
        </w:rPr>
        <w:tab/>
      </w:r>
      <w:r w:rsidR="006954F7" w:rsidRPr="004C30C0">
        <w:rPr>
          <w:sz w:val="20"/>
          <w:szCs w:val="20"/>
        </w:rPr>
        <w:t>Final scope and sequence</w:t>
      </w:r>
      <w:r w:rsidR="006954F7" w:rsidRPr="004C30C0">
        <w:rPr>
          <w:sz w:val="20"/>
          <w:szCs w:val="20"/>
        </w:rPr>
        <w:tab/>
      </w:r>
      <w:r w:rsidR="006954F7" w:rsidRPr="004C30C0">
        <w:rPr>
          <w:sz w:val="20"/>
          <w:szCs w:val="20"/>
        </w:rPr>
        <w:tab/>
      </w:r>
      <w:r w:rsidR="006954F7" w:rsidRPr="004C30C0">
        <w:rPr>
          <w:sz w:val="20"/>
          <w:szCs w:val="20"/>
        </w:rPr>
        <w:tab/>
        <w:t>4</w:t>
      </w:r>
      <w:r w:rsidRPr="004C30C0">
        <w:rPr>
          <w:sz w:val="20"/>
          <w:szCs w:val="20"/>
        </w:rPr>
        <w:t>0%</w:t>
      </w:r>
    </w:p>
    <w:p w:rsidR="00A31A19" w:rsidRPr="004C30C0" w:rsidRDefault="00A31A19" w:rsidP="002C07CD">
      <w:pPr>
        <w:spacing w:after="0" w:line="240" w:lineRule="auto"/>
        <w:rPr>
          <w:sz w:val="20"/>
          <w:szCs w:val="20"/>
          <w:u w:val="single"/>
        </w:rPr>
      </w:pPr>
      <w:r w:rsidRPr="004C30C0">
        <w:rPr>
          <w:sz w:val="20"/>
          <w:szCs w:val="20"/>
        </w:rPr>
        <w:tab/>
        <w:t>Participation</w:t>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u w:val="single"/>
        </w:rPr>
        <w:t>10%</w:t>
      </w:r>
    </w:p>
    <w:p w:rsidR="00A31A19" w:rsidRPr="004C30C0" w:rsidRDefault="00A31A19" w:rsidP="002C07CD">
      <w:pPr>
        <w:spacing w:line="240" w:lineRule="auto"/>
        <w:rPr>
          <w:sz w:val="20"/>
          <w:szCs w:val="20"/>
        </w:rPr>
      </w:pP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r>
      <w:r w:rsidRPr="004C30C0">
        <w:rPr>
          <w:sz w:val="20"/>
          <w:szCs w:val="20"/>
        </w:rPr>
        <w:tab/>
        <w:t>100%</w:t>
      </w: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4C30C0" w:rsidRPr="004C30C0" w:rsidTr="004C30C0">
        <w:tc>
          <w:tcPr>
            <w:tcW w:w="1798" w:type="dxa"/>
          </w:tcPr>
          <w:p w:rsidR="004C30C0" w:rsidRPr="004C30C0" w:rsidRDefault="004C30C0" w:rsidP="002C07CD">
            <w:pPr>
              <w:spacing w:line="240" w:lineRule="auto"/>
              <w:rPr>
                <w:sz w:val="20"/>
                <w:szCs w:val="20"/>
              </w:rPr>
            </w:pPr>
            <w:r w:rsidRPr="004C30C0">
              <w:rPr>
                <w:sz w:val="20"/>
                <w:szCs w:val="20"/>
              </w:rPr>
              <w:t>Final Grade</w:t>
            </w:r>
          </w:p>
        </w:tc>
        <w:tc>
          <w:tcPr>
            <w:tcW w:w="1798" w:type="dxa"/>
          </w:tcPr>
          <w:p w:rsidR="004C30C0" w:rsidRPr="004C30C0" w:rsidRDefault="004C30C0" w:rsidP="002C07CD">
            <w:pPr>
              <w:spacing w:line="240" w:lineRule="auto"/>
              <w:rPr>
                <w:sz w:val="20"/>
                <w:szCs w:val="20"/>
              </w:rPr>
            </w:pPr>
            <w:r w:rsidRPr="004C30C0">
              <w:rPr>
                <w:sz w:val="20"/>
                <w:szCs w:val="20"/>
              </w:rPr>
              <w:t>Percentage</w:t>
            </w:r>
          </w:p>
        </w:tc>
        <w:tc>
          <w:tcPr>
            <w:tcW w:w="1798" w:type="dxa"/>
          </w:tcPr>
          <w:p w:rsidR="004C30C0" w:rsidRPr="004C30C0" w:rsidRDefault="004C30C0" w:rsidP="002C07CD">
            <w:pPr>
              <w:spacing w:line="240" w:lineRule="auto"/>
              <w:rPr>
                <w:sz w:val="20"/>
                <w:szCs w:val="20"/>
              </w:rPr>
            </w:pPr>
            <w:r w:rsidRPr="004C30C0">
              <w:rPr>
                <w:sz w:val="20"/>
                <w:szCs w:val="20"/>
              </w:rPr>
              <w:t>Final Grade</w:t>
            </w:r>
          </w:p>
        </w:tc>
        <w:tc>
          <w:tcPr>
            <w:tcW w:w="1798" w:type="dxa"/>
          </w:tcPr>
          <w:p w:rsidR="004C30C0" w:rsidRPr="004C30C0" w:rsidRDefault="004C30C0" w:rsidP="002C07CD">
            <w:pPr>
              <w:spacing w:line="240" w:lineRule="auto"/>
              <w:rPr>
                <w:sz w:val="20"/>
                <w:szCs w:val="20"/>
              </w:rPr>
            </w:pPr>
            <w:r w:rsidRPr="004C30C0">
              <w:rPr>
                <w:sz w:val="20"/>
                <w:szCs w:val="20"/>
              </w:rPr>
              <w:t>Percentage</w:t>
            </w:r>
          </w:p>
        </w:tc>
        <w:tc>
          <w:tcPr>
            <w:tcW w:w="1799" w:type="dxa"/>
          </w:tcPr>
          <w:p w:rsidR="004C30C0" w:rsidRPr="004C30C0" w:rsidRDefault="004C30C0" w:rsidP="002C07CD">
            <w:pPr>
              <w:spacing w:line="240" w:lineRule="auto"/>
              <w:rPr>
                <w:sz w:val="20"/>
                <w:szCs w:val="20"/>
              </w:rPr>
            </w:pPr>
            <w:r w:rsidRPr="004C30C0">
              <w:rPr>
                <w:sz w:val="20"/>
                <w:szCs w:val="20"/>
              </w:rPr>
              <w:t>Final Grade</w:t>
            </w:r>
          </w:p>
        </w:tc>
        <w:tc>
          <w:tcPr>
            <w:tcW w:w="1799" w:type="dxa"/>
          </w:tcPr>
          <w:p w:rsidR="004C30C0" w:rsidRPr="004C30C0" w:rsidRDefault="004C30C0" w:rsidP="002C07CD">
            <w:pPr>
              <w:spacing w:line="240" w:lineRule="auto"/>
              <w:rPr>
                <w:sz w:val="20"/>
                <w:szCs w:val="20"/>
              </w:rPr>
            </w:pPr>
            <w:r w:rsidRPr="004C30C0">
              <w:rPr>
                <w:sz w:val="20"/>
                <w:szCs w:val="20"/>
              </w:rPr>
              <w:t>Percentage</w:t>
            </w:r>
          </w:p>
        </w:tc>
      </w:tr>
      <w:tr w:rsidR="004C30C0" w:rsidRPr="004C30C0" w:rsidTr="004C30C0">
        <w:tc>
          <w:tcPr>
            <w:tcW w:w="1798" w:type="dxa"/>
          </w:tcPr>
          <w:p w:rsidR="004C30C0" w:rsidRPr="004C30C0" w:rsidRDefault="004C30C0" w:rsidP="002C07CD">
            <w:pPr>
              <w:spacing w:line="240" w:lineRule="auto"/>
              <w:rPr>
                <w:sz w:val="20"/>
                <w:szCs w:val="20"/>
              </w:rPr>
            </w:pPr>
            <w:r w:rsidRPr="004C30C0">
              <w:rPr>
                <w:sz w:val="20"/>
                <w:szCs w:val="20"/>
              </w:rPr>
              <w:t xml:space="preserve">A             </w:t>
            </w:r>
          </w:p>
        </w:tc>
        <w:tc>
          <w:tcPr>
            <w:tcW w:w="1798" w:type="dxa"/>
          </w:tcPr>
          <w:p w:rsidR="004C30C0" w:rsidRPr="004C30C0" w:rsidRDefault="004C30C0" w:rsidP="002C07CD">
            <w:pPr>
              <w:spacing w:line="240" w:lineRule="auto"/>
              <w:rPr>
                <w:sz w:val="20"/>
                <w:szCs w:val="20"/>
              </w:rPr>
            </w:pPr>
            <w:r w:rsidRPr="004C30C0">
              <w:rPr>
                <w:sz w:val="20"/>
                <w:szCs w:val="20"/>
              </w:rPr>
              <w:t>≥ 93.3%</w:t>
            </w:r>
          </w:p>
        </w:tc>
        <w:tc>
          <w:tcPr>
            <w:tcW w:w="1798" w:type="dxa"/>
          </w:tcPr>
          <w:p w:rsidR="004C30C0" w:rsidRPr="004C30C0" w:rsidRDefault="004C30C0" w:rsidP="002C07CD">
            <w:pPr>
              <w:spacing w:line="240" w:lineRule="auto"/>
              <w:rPr>
                <w:sz w:val="20"/>
                <w:szCs w:val="20"/>
              </w:rPr>
            </w:pPr>
            <w:r w:rsidRPr="004C30C0">
              <w:rPr>
                <w:sz w:val="20"/>
                <w:szCs w:val="20"/>
              </w:rPr>
              <w:t>B-                       </w:t>
            </w:r>
          </w:p>
        </w:tc>
        <w:tc>
          <w:tcPr>
            <w:tcW w:w="1798" w:type="dxa"/>
          </w:tcPr>
          <w:p w:rsidR="004C30C0" w:rsidRPr="004C30C0" w:rsidRDefault="004C30C0" w:rsidP="002C07CD">
            <w:pPr>
              <w:spacing w:line="240" w:lineRule="auto"/>
              <w:rPr>
                <w:sz w:val="20"/>
                <w:szCs w:val="20"/>
              </w:rPr>
            </w:pPr>
            <w:r w:rsidRPr="004C30C0">
              <w:rPr>
                <w:sz w:val="20"/>
                <w:szCs w:val="20"/>
              </w:rPr>
              <w:t>≥ 80.0%</w:t>
            </w:r>
          </w:p>
        </w:tc>
        <w:tc>
          <w:tcPr>
            <w:tcW w:w="1799" w:type="dxa"/>
          </w:tcPr>
          <w:p w:rsidR="004C30C0" w:rsidRPr="004C30C0" w:rsidRDefault="004C30C0" w:rsidP="002C07CD">
            <w:pPr>
              <w:spacing w:line="240" w:lineRule="auto"/>
              <w:rPr>
                <w:sz w:val="20"/>
                <w:szCs w:val="20"/>
              </w:rPr>
            </w:pPr>
            <w:r w:rsidRPr="004C30C0">
              <w:rPr>
                <w:sz w:val="20"/>
                <w:szCs w:val="20"/>
              </w:rPr>
              <w:t>D</w:t>
            </w:r>
          </w:p>
        </w:tc>
        <w:tc>
          <w:tcPr>
            <w:tcW w:w="1799" w:type="dxa"/>
          </w:tcPr>
          <w:p w:rsidR="004C30C0" w:rsidRPr="004C30C0" w:rsidRDefault="004C30C0" w:rsidP="002C07CD">
            <w:pPr>
              <w:spacing w:line="240" w:lineRule="auto"/>
              <w:rPr>
                <w:sz w:val="20"/>
                <w:szCs w:val="20"/>
              </w:rPr>
            </w:pPr>
            <w:r w:rsidRPr="004C30C0">
              <w:rPr>
                <w:sz w:val="20"/>
                <w:szCs w:val="20"/>
              </w:rPr>
              <w:t>≥ 66.6%</w:t>
            </w:r>
          </w:p>
        </w:tc>
      </w:tr>
      <w:tr w:rsidR="004C30C0" w:rsidRPr="004C30C0" w:rsidTr="004C30C0">
        <w:tc>
          <w:tcPr>
            <w:tcW w:w="1798" w:type="dxa"/>
          </w:tcPr>
          <w:p w:rsidR="004C30C0" w:rsidRPr="004C30C0" w:rsidRDefault="004C30C0" w:rsidP="002C07CD">
            <w:pPr>
              <w:spacing w:line="240" w:lineRule="auto"/>
              <w:rPr>
                <w:sz w:val="20"/>
                <w:szCs w:val="20"/>
              </w:rPr>
            </w:pPr>
            <w:r w:rsidRPr="004C30C0">
              <w:rPr>
                <w:sz w:val="20"/>
                <w:szCs w:val="20"/>
              </w:rPr>
              <w:t xml:space="preserve">A-                 </w:t>
            </w:r>
          </w:p>
        </w:tc>
        <w:tc>
          <w:tcPr>
            <w:tcW w:w="1798" w:type="dxa"/>
          </w:tcPr>
          <w:p w:rsidR="004C30C0" w:rsidRPr="004C30C0" w:rsidRDefault="004C30C0" w:rsidP="002C07CD">
            <w:pPr>
              <w:spacing w:line="240" w:lineRule="auto"/>
              <w:rPr>
                <w:sz w:val="20"/>
                <w:szCs w:val="20"/>
              </w:rPr>
            </w:pPr>
            <w:r w:rsidRPr="004C30C0">
              <w:rPr>
                <w:sz w:val="20"/>
                <w:szCs w:val="20"/>
              </w:rPr>
              <w:t>≥ 90.0%</w:t>
            </w:r>
          </w:p>
        </w:tc>
        <w:tc>
          <w:tcPr>
            <w:tcW w:w="1798" w:type="dxa"/>
          </w:tcPr>
          <w:p w:rsidR="004C30C0" w:rsidRPr="004C30C0" w:rsidRDefault="004C30C0" w:rsidP="002C07CD">
            <w:pPr>
              <w:spacing w:line="240" w:lineRule="auto"/>
              <w:rPr>
                <w:sz w:val="20"/>
                <w:szCs w:val="20"/>
              </w:rPr>
            </w:pPr>
            <w:r w:rsidRPr="004C30C0">
              <w:rPr>
                <w:sz w:val="20"/>
                <w:szCs w:val="20"/>
              </w:rPr>
              <w:t>C+</w:t>
            </w:r>
          </w:p>
        </w:tc>
        <w:tc>
          <w:tcPr>
            <w:tcW w:w="1798" w:type="dxa"/>
          </w:tcPr>
          <w:p w:rsidR="004C30C0" w:rsidRPr="004C30C0" w:rsidRDefault="004C30C0" w:rsidP="002C07CD">
            <w:pPr>
              <w:spacing w:line="240" w:lineRule="auto"/>
              <w:rPr>
                <w:sz w:val="20"/>
                <w:szCs w:val="20"/>
              </w:rPr>
            </w:pPr>
            <w:r w:rsidRPr="004C30C0">
              <w:rPr>
                <w:sz w:val="20"/>
                <w:szCs w:val="20"/>
              </w:rPr>
              <w:t>≥ 76.6%</w:t>
            </w:r>
          </w:p>
        </w:tc>
        <w:tc>
          <w:tcPr>
            <w:tcW w:w="1799" w:type="dxa"/>
          </w:tcPr>
          <w:p w:rsidR="004C30C0" w:rsidRPr="004C30C0" w:rsidRDefault="004C30C0" w:rsidP="002C07CD">
            <w:pPr>
              <w:spacing w:line="240" w:lineRule="auto"/>
              <w:rPr>
                <w:sz w:val="20"/>
                <w:szCs w:val="20"/>
              </w:rPr>
            </w:pPr>
            <w:r w:rsidRPr="004C30C0">
              <w:rPr>
                <w:sz w:val="20"/>
                <w:szCs w:val="20"/>
              </w:rPr>
              <w:t>D-</w:t>
            </w:r>
          </w:p>
        </w:tc>
        <w:tc>
          <w:tcPr>
            <w:tcW w:w="1799" w:type="dxa"/>
          </w:tcPr>
          <w:p w:rsidR="004C30C0" w:rsidRPr="004C30C0" w:rsidRDefault="004C30C0" w:rsidP="002C07CD">
            <w:pPr>
              <w:spacing w:line="240" w:lineRule="auto"/>
              <w:rPr>
                <w:sz w:val="20"/>
                <w:szCs w:val="20"/>
              </w:rPr>
            </w:pPr>
            <w:r w:rsidRPr="004C30C0">
              <w:rPr>
                <w:sz w:val="20"/>
                <w:szCs w:val="20"/>
              </w:rPr>
              <w:t>≥ 60.0%</w:t>
            </w:r>
          </w:p>
        </w:tc>
      </w:tr>
      <w:tr w:rsidR="004C30C0" w:rsidRPr="004C30C0" w:rsidTr="004C30C0">
        <w:tc>
          <w:tcPr>
            <w:tcW w:w="1798" w:type="dxa"/>
          </w:tcPr>
          <w:p w:rsidR="004C30C0" w:rsidRPr="004C30C0" w:rsidRDefault="004C30C0" w:rsidP="002C07CD">
            <w:pPr>
              <w:spacing w:line="240" w:lineRule="auto"/>
              <w:rPr>
                <w:sz w:val="20"/>
                <w:szCs w:val="20"/>
              </w:rPr>
            </w:pPr>
            <w:r w:rsidRPr="004C30C0">
              <w:rPr>
                <w:sz w:val="20"/>
                <w:szCs w:val="20"/>
              </w:rPr>
              <w:t>B+      </w:t>
            </w:r>
          </w:p>
        </w:tc>
        <w:tc>
          <w:tcPr>
            <w:tcW w:w="1798" w:type="dxa"/>
          </w:tcPr>
          <w:p w:rsidR="004C30C0" w:rsidRPr="004C30C0" w:rsidRDefault="004C30C0" w:rsidP="002C07CD">
            <w:pPr>
              <w:spacing w:line="240" w:lineRule="auto"/>
              <w:rPr>
                <w:sz w:val="20"/>
                <w:szCs w:val="20"/>
              </w:rPr>
            </w:pPr>
            <w:r w:rsidRPr="004C30C0">
              <w:rPr>
                <w:sz w:val="20"/>
                <w:szCs w:val="20"/>
              </w:rPr>
              <w:t>≥ 86.6%</w:t>
            </w:r>
          </w:p>
        </w:tc>
        <w:tc>
          <w:tcPr>
            <w:tcW w:w="1798" w:type="dxa"/>
          </w:tcPr>
          <w:p w:rsidR="004C30C0" w:rsidRPr="004C30C0" w:rsidRDefault="004C30C0" w:rsidP="002C07CD">
            <w:pPr>
              <w:spacing w:line="240" w:lineRule="auto"/>
              <w:rPr>
                <w:sz w:val="20"/>
                <w:szCs w:val="20"/>
              </w:rPr>
            </w:pPr>
            <w:r w:rsidRPr="004C30C0">
              <w:rPr>
                <w:sz w:val="20"/>
                <w:szCs w:val="20"/>
              </w:rPr>
              <w:t>C</w:t>
            </w:r>
          </w:p>
        </w:tc>
        <w:tc>
          <w:tcPr>
            <w:tcW w:w="1798" w:type="dxa"/>
          </w:tcPr>
          <w:p w:rsidR="004C30C0" w:rsidRPr="004C30C0" w:rsidRDefault="004C30C0" w:rsidP="002C07CD">
            <w:pPr>
              <w:spacing w:line="240" w:lineRule="auto"/>
              <w:rPr>
                <w:sz w:val="20"/>
                <w:szCs w:val="20"/>
              </w:rPr>
            </w:pPr>
            <w:r w:rsidRPr="004C30C0">
              <w:rPr>
                <w:sz w:val="20"/>
                <w:szCs w:val="20"/>
              </w:rPr>
              <w:t>≥ 73.3%</w:t>
            </w:r>
          </w:p>
        </w:tc>
        <w:tc>
          <w:tcPr>
            <w:tcW w:w="1799" w:type="dxa"/>
          </w:tcPr>
          <w:p w:rsidR="004C30C0" w:rsidRPr="004C30C0" w:rsidRDefault="004C30C0" w:rsidP="002C07CD">
            <w:pPr>
              <w:spacing w:line="240" w:lineRule="auto"/>
              <w:rPr>
                <w:sz w:val="20"/>
                <w:szCs w:val="20"/>
              </w:rPr>
            </w:pPr>
            <w:r w:rsidRPr="004C30C0">
              <w:rPr>
                <w:sz w:val="20"/>
                <w:szCs w:val="20"/>
              </w:rPr>
              <w:t>F</w:t>
            </w:r>
          </w:p>
        </w:tc>
        <w:tc>
          <w:tcPr>
            <w:tcW w:w="1799" w:type="dxa"/>
          </w:tcPr>
          <w:p w:rsidR="004C30C0" w:rsidRPr="004C30C0" w:rsidRDefault="004C30C0" w:rsidP="002C07CD">
            <w:pPr>
              <w:spacing w:line="240" w:lineRule="auto"/>
              <w:rPr>
                <w:sz w:val="20"/>
                <w:szCs w:val="20"/>
              </w:rPr>
            </w:pPr>
            <w:r w:rsidRPr="004C30C0">
              <w:rPr>
                <w:sz w:val="20"/>
                <w:szCs w:val="20"/>
              </w:rPr>
              <w:sym w:font="Symbol" w:char="F0A3"/>
            </w:r>
            <w:r w:rsidRPr="004C30C0">
              <w:rPr>
                <w:sz w:val="20"/>
                <w:szCs w:val="20"/>
              </w:rPr>
              <w:t xml:space="preserve"> 59.9%</w:t>
            </w:r>
          </w:p>
        </w:tc>
      </w:tr>
      <w:tr w:rsidR="004C30C0" w:rsidRPr="004C30C0" w:rsidTr="004C30C0">
        <w:tc>
          <w:tcPr>
            <w:tcW w:w="1798" w:type="dxa"/>
          </w:tcPr>
          <w:p w:rsidR="004C30C0" w:rsidRPr="004C30C0" w:rsidRDefault="004C30C0" w:rsidP="002C07CD">
            <w:pPr>
              <w:spacing w:line="240" w:lineRule="auto"/>
              <w:rPr>
                <w:sz w:val="20"/>
                <w:szCs w:val="20"/>
              </w:rPr>
            </w:pPr>
            <w:r w:rsidRPr="004C30C0">
              <w:rPr>
                <w:sz w:val="20"/>
                <w:szCs w:val="20"/>
              </w:rPr>
              <w:t>B</w:t>
            </w:r>
          </w:p>
        </w:tc>
        <w:tc>
          <w:tcPr>
            <w:tcW w:w="1798" w:type="dxa"/>
          </w:tcPr>
          <w:p w:rsidR="004C30C0" w:rsidRPr="004C30C0" w:rsidRDefault="004C30C0" w:rsidP="002C07CD">
            <w:pPr>
              <w:spacing w:line="240" w:lineRule="auto"/>
              <w:rPr>
                <w:sz w:val="20"/>
                <w:szCs w:val="20"/>
              </w:rPr>
            </w:pPr>
            <w:r w:rsidRPr="004C30C0">
              <w:rPr>
                <w:sz w:val="20"/>
                <w:szCs w:val="20"/>
              </w:rPr>
              <w:t>≥ 83.3%</w:t>
            </w:r>
          </w:p>
        </w:tc>
        <w:tc>
          <w:tcPr>
            <w:tcW w:w="1798" w:type="dxa"/>
          </w:tcPr>
          <w:p w:rsidR="004C30C0" w:rsidRPr="004C30C0" w:rsidRDefault="004C30C0" w:rsidP="002C07CD">
            <w:pPr>
              <w:spacing w:line="240" w:lineRule="auto"/>
              <w:rPr>
                <w:sz w:val="20"/>
                <w:szCs w:val="20"/>
              </w:rPr>
            </w:pPr>
            <w:r w:rsidRPr="004C30C0">
              <w:rPr>
                <w:sz w:val="20"/>
                <w:szCs w:val="20"/>
              </w:rPr>
              <w:t>C-</w:t>
            </w:r>
          </w:p>
        </w:tc>
        <w:tc>
          <w:tcPr>
            <w:tcW w:w="1798" w:type="dxa"/>
          </w:tcPr>
          <w:p w:rsidR="004C30C0" w:rsidRPr="004C30C0" w:rsidRDefault="004C30C0" w:rsidP="002C07CD">
            <w:pPr>
              <w:spacing w:line="240" w:lineRule="auto"/>
              <w:rPr>
                <w:sz w:val="20"/>
                <w:szCs w:val="20"/>
              </w:rPr>
            </w:pPr>
            <w:r w:rsidRPr="004C30C0">
              <w:rPr>
                <w:sz w:val="20"/>
                <w:szCs w:val="20"/>
              </w:rPr>
              <w:t>≥ 70.0%</w:t>
            </w:r>
          </w:p>
        </w:tc>
        <w:tc>
          <w:tcPr>
            <w:tcW w:w="1799" w:type="dxa"/>
          </w:tcPr>
          <w:p w:rsidR="004C30C0" w:rsidRPr="004C30C0" w:rsidRDefault="004C30C0" w:rsidP="002C07CD">
            <w:pPr>
              <w:spacing w:line="240" w:lineRule="auto"/>
              <w:rPr>
                <w:sz w:val="20"/>
                <w:szCs w:val="20"/>
              </w:rPr>
            </w:pPr>
          </w:p>
        </w:tc>
        <w:tc>
          <w:tcPr>
            <w:tcW w:w="1799" w:type="dxa"/>
          </w:tcPr>
          <w:p w:rsidR="004C30C0" w:rsidRPr="004C30C0" w:rsidRDefault="004C30C0" w:rsidP="002C07CD">
            <w:pPr>
              <w:spacing w:line="240" w:lineRule="auto"/>
              <w:rPr>
                <w:sz w:val="20"/>
                <w:szCs w:val="20"/>
              </w:rPr>
            </w:pPr>
          </w:p>
        </w:tc>
      </w:tr>
    </w:tbl>
    <w:p w:rsidR="004C30C0" w:rsidRPr="004C30C0" w:rsidRDefault="004C30C0" w:rsidP="002C07CD">
      <w:pPr>
        <w:pStyle w:val="Heading5"/>
        <w:spacing w:line="240" w:lineRule="auto"/>
        <w:rPr>
          <w:sz w:val="20"/>
          <w:szCs w:val="20"/>
        </w:rPr>
      </w:pPr>
      <w:r w:rsidRPr="004C30C0">
        <w:rPr>
          <w:sz w:val="20"/>
          <w:szCs w:val="20"/>
        </w:rPr>
        <w:t>Course Assignments</w:t>
      </w:r>
    </w:p>
    <w:p w:rsidR="004C30C0" w:rsidRPr="004C30C0" w:rsidRDefault="004C30C0" w:rsidP="002C07CD">
      <w:pPr>
        <w:spacing w:after="0" w:line="240" w:lineRule="auto"/>
        <w:rPr>
          <w:sz w:val="20"/>
          <w:szCs w:val="20"/>
        </w:rPr>
      </w:pPr>
      <w:r w:rsidRPr="004C30C0">
        <w:rPr>
          <w:sz w:val="20"/>
          <w:szCs w:val="20"/>
        </w:rPr>
        <w:t>Reaction Paper I</w:t>
      </w:r>
    </w:p>
    <w:p w:rsidR="004C30C0" w:rsidRPr="004C30C0" w:rsidRDefault="004C30C0" w:rsidP="002C07CD">
      <w:pPr>
        <w:spacing w:after="0" w:line="240" w:lineRule="auto"/>
        <w:ind w:left="720"/>
        <w:rPr>
          <w:sz w:val="20"/>
          <w:szCs w:val="20"/>
        </w:rPr>
      </w:pPr>
      <w:r w:rsidRPr="004C30C0">
        <w:rPr>
          <w:sz w:val="20"/>
          <w:szCs w:val="20"/>
        </w:rPr>
        <w:t>Write a two page essay that answers the question: What are the challenges and opportunities presented by the Next Generation Science Standards? Please include 2+ citations, in APA format, to particular areas of the text you are referring to, so that the reader knows what you are looking at.</w:t>
      </w:r>
    </w:p>
    <w:p w:rsidR="004C30C0" w:rsidRDefault="004C30C0" w:rsidP="002C07CD">
      <w:pPr>
        <w:spacing w:after="0" w:line="240" w:lineRule="auto"/>
        <w:rPr>
          <w:sz w:val="20"/>
          <w:szCs w:val="20"/>
        </w:rPr>
      </w:pPr>
    </w:p>
    <w:p w:rsidR="004C30C0" w:rsidRPr="004C30C0" w:rsidRDefault="004C30C0" w:rsidP="002C07CD">
      <w:pPr>
        <w:spacing w:after="0" w:line="240" w:lineRule="auto"/>
        <w:rPr>
          <w:sz w:val="20"/>
          <w:szCs w:val="20"/>
        </w:rPr>
      </w:pPr>
      <w:r w:rsidRPr="004C30C0">
        <w:rPr>
          <w:sz w:val="20"/>
          <w:szCs w:val="20"/>
        </w:rPr>
        <w:t>Reaction Paper II</w:t>
      </w:r>
    </w:p>
    <w:p w:rsidR="004C30C0" w:rsidRPr="004C30C0" w:rsidRDefault="004C30C0" w:rsidP="002C07CD">
      <w:pPr>
        <w:spacing w:after="0" w:line="240" w:lineRule="auto"/>
        <w:ind w:left="720"/>
        <w:rPr>
          <w:sz w:val="20"/>
          <w:szCs w:val="20"/>
        </w:rPr>
      </w:pPr>
      <w:r w:rsidRPr="004C30C0">
        <w:rPr>
          <w:sz w:val="20"/>
          <w:szCs w:val="20"/>
        </w:rPr>
        <w:t>Write a two page essay that answers the questions: Why change? What will be gained and lost from the transition to the new standards? Will it be worth it? Include a discussion of the different levels of education, including national, state, and local. Please include 2+ citations, in APA format, to particular areas of the text you are referring to, so that the reader knows what you are looking at.</w:t>
      </w:r>
    </w:p>
    <w:p w:rsidR="004C30C0" w:rsidRDefault="004C30C0" w:rsidP="002C07CD">
      <w:pPr>
        <w:spacing w:after="0" w:line="240" w:lineRule="auto"/>
        <w:rPr>
          <w:sz w:val="20"/>
          <w:szCs w:val="20"/>
        </w:rPr>
      </w:pPr>
    </w:p>
    <w:p w:rsidR="004C30C0" w:rsidRPr="004C30C0" w:rsidRDefault="004C30C0" w:rsidP="002C07CD">
      <w:pPr>
        <w:spacing w:after="0" w:line="240" w:lineRule="auto"/>
        <w:rPr>
          <w:sz w:val="20"/>
          <w:szCs w:val="20"/>
        </w:rPr>
      </w:pPr>
      <w:r w:rsidRPr="004C30C0">
        <w:rPr>
          <w:sz w:val="20"/>
          <w:szCs w:val="20"/>
        </w:rPr>
        <w:t>Reaction Paper III</w:t>
      </w:r>
    </w:p>
    <w:p w:rsidR="004C30C0" w:rsidRPr="004C30C0" w:rsidRDefault="004C30C0" w:rsidP="002C07CD">
      <w:pPr>
        <w:spacing w:after="0" w:line="240" w:lineRule="auto"/>
        <w:ind w:left="720"/>
        <w:rPr>
          <w:sz w:val="20"/>
          <w:szCs w:val="20"/>
        </w:rPr>
      </w:pPr>
      <w:r w:rsidRPr="004C30C0">
        <w:rPr>
          <w:sz w:val="20"/>
          <w:szCs w:val="20"/>
        </w:rPr>
        <w:t>Write a two page essay that answers the question: How will the NGSS change my classroom practice. Please include 2+ citations, in APA format, to particular areas of the text you are referring to, so that the reader knows what you are looking at.</w:t>
      </w:r>
    </w:p>
    <w:p w:rsidR="004C30C0" w:rsidRDefault="004C30C0" w:rsidP="002C07CD">
      <w:pPr>
        <w:spacing w:after="0" w:line="240" w:lineRule="auto"/>
        <w:rPr>
          <w:sz w:val="20"/>
          <w:szCs w:val="20"/>
        </w:rPr>
      </w:pPr>
    </w:p>
    <w:p w:rsidR="004C30C0" w:rsidRPr="004C30C0" w:rsidRDefault="004C30C0" w:rsidP="002C07CD">
      <w:pPr>
        <w:spacing w:after="0" w:line="240" w:lineRule="auto"/>
        <w:rPr>
          <w:sz w:val="20"/>
          <w:szCs w:val="20"/>
        </w:rPr>
      </w:pPr>
      <w:r w:rsidRPr="004C30C0">
        <w:rPr>
          <w:sz w:val="20"/>
          <w:szCs w:val="20"/>
        </w:rPr>
        <w:t>NGSS Aligned Lesson</w:t>
      </w:r>
    </w:p>
    <w:p w:rsidR="004C30C0" w:rsidRPr="004C30C0" w:rsidRDefault="004C30C0" w:rsidP="002C07CD">
      <w:pPr>
        <w:spacing w:after="0" w:line="240" w:lineRule="auto"/>
        <w:rPr>
          <w:sz w:val="20"/>
          <w:szCs w:val="20"/>
        </w:rPr>
      </w:pPr>
      <w:r w:rsidRPr="004C30C0">
        <w:rPr>
          <w:sz w:val="20"/>
          <w:szCs w:val="20"/>
        </w:rPr>
        <w:tab/>
        <w:t>Write a lesson plan that demonstrates the three dimensional nature of the NGSS.</w:t>
      </w:r>
    </w:p>
    <w:p w:rsidR="004C30C0" w:rsidRDefault="004C30C0" w:rsidP="002C07CD">
      <w:pPr>
        <w:spacing w:after="0" w:line="240" w:lineRule="auto"/>
        <w:rPr>
          <w:sz w:val="20"/>
          <w:szCs w:val="20"/>
        </w:rPr>
      </w:pPr>
    </w:p>
    <w:p w:rsidR="004C30C0" w:rsidRPr="004C30C0" w:rsidRDefault="004C30C0" w:rsidP="002C07CD">
      <w:pPr>
        <w:spacing w:after="0" w:line="240" w:lineRule="auto"/>
        <w:rPr>
          <w:sz w:val="20"/>
          <w:szCs w:val="20"/>
        </w:rPr>
      </w:pPr>
      <w:r w:rsidRPr="004C30C0">
        <w:rPr>
          <w:sz w:val="20"/>
          <w:szCs w:val="20"/>
        </w:rPr>
        <w:t>Scope and Sequence</w:t>
      </w:r>
    </w:p>
    <w:p w:rsidR="004C30C0" w:rsidRPr="004C30C0" w:rsidRDefault="004C30C0" w:rsidP="002C07CD">
      <w:pPr>
        <w:spacing w:after="0" w:line="240" w:lineRule="auto"/>
        <w:ind w:left="720"/>
        <w:rPr>
          <w:sz w:val="20"/>
          <w:szCs w:val="20"/>
        </w:rPr>
      </w:pPr>
      <w:r w:rsidRPr="004C30C0">
        <w:rPr>
          <w:sz w:val="20"/>
          <w:szCs w:val="20"/>
        </w:rPr>
        <w:t>Design a scope and sequence that contains the following:</w:t>
      </w:r>
      <w:r w:rsidR="002C07CD">
        <w:rPr>
          <w:sz w:val="20"/>
          <w:szCs w:val="20"/>
        </w:rPr>
        <w:t xml:space="preserve"> approximately 180 days of instructional time, one thirs of the DCIs for either middle or high school, defined units of study, learning objectives, integration of XCCs and PSEs,  and CCSS connections. </w:t>
      </w:r>
    </w:p>
    <w:p w:rsidR="004C30C0" w:rsidRPr="004C30C0" w:rsidRDefault="004C30C0" w:rsidP="002C07CD">
      <w:pPr>
        <w:spacing w:line="240" w:lineRule="auto"/>
        <w:rPr>
          <w:caps/>
          <w:color w:val="622423" w:themeColor="accent2" w:themeShade="7F"/>
          <w:spacing w:val="10"/>
          <w:sz w:val="20"/>
          <w:szCs w:val="20"/>
        </w:rPr>
      </w:pPr>
      <w:r w:rsidRPr="004C30C0">
        <w:rPr>
          <w:sz w:val="20"/>
          <w:szCs w:val="20"/>
        </w:rPr>
        <w:br w:type="page"/>
      </w:r>
    </w:p>
    <w:p w:rsidR="00B92C2D" w:rsidRPr="004C30C0" w:rsidRDefault="00B92C2D" w:rsidP="00B92C2D">
      <w:pPr>
        <w:pStyle w:val="Heading5"/>
        <w:rPr>
          <w:sz w:val="20"/>
          <w:szCs w:val="20"/>
        </w:rPr>
      </w:pPr>
      <w:r w:rsidRPr="004C30C0">
        <w:rPr>
          <w:sz w:val="20"/>
          <w:szCs w:val="20"/>
        </w:rPr>
        <w:lastRenderedPageBreak/>
        <w:t>Course Schedule</w:t>
      </w:r>
    </w:p>
    <w:tbl>
      <w:tblPr>
        <w:tblStyle w:val="TableGrid"/>
        <w:tblW w:w="0" w:type="auto"/>
        <w:tblLook w:val="04A0" w:firstRow="1" w:lastRow="0" w:firstColumn="1" w:lastColumn="0" w:noHBand="0" w:noVBand="1"/>
      </w:tblPr>
      <w:tblGrid>
        <w:gridCol w:w="1263"/>
        <w:gridCol w:w="4402"/>
        <w:gridCol w:w="5125"/>
      </w:tblGrid>
      <w:tr w:rsidR="00EC0CA5" w:rsidRPr="004C30C0" w:rsidTr="00EC0CA5">
        <w:tc>
          <w:tcPr>
            <w:tcW w:w="1263" w:type="dxa"/>
          </w:tcPr>
          <w:p w:rsidR="00EC0CA5" w:rsidRPr="004C30C0" w:rsidRDefault="00EC0CA5" w:rsidP="002C07CD">
            <w:pPr>
              <w:rPr>
                <w:rStyle w:val="SubtleReference"/>
                <w:sz w:val="20"/>
                <w:szCs w:val="20"/>
              </w:rPr>
            </w:pPr>
            <w:r w:rsidRPr="004C30C0">
              <w:rPr>
                <w:rStyle w:val="SubtleReference"/>
                <w:sz w:val="20"/>
                <w:szCs w:val="20"/>
              </w:rPr>
              <w:t>Week</w:t>
            </w:r>
          </w:p>
        </w:tc>
        <w:tc>
          <w:tcPr>
            <w:tcW w:w="4402" w:type="dxa"/>
          </w:tcPr>
          <w:p w:rsidR="00EC0CA5" w:rsidRPr="004C30C0" w:rsidRDefault="00EC0CA5" w:rsidP="002C07CD">
            <w:pPr>
              <w:rPr>
                <w:rStyle w:val="SubtleReference"/>
                <w:sz w:val="20"/>
                <w:szCs w:val="20"/>
              </w:rPr>
            </w:pPr>
            <w:r w:rsidRPr="004C30C0">
              <w:rPr>
                <w:rStyle w:val="SubtleReference"/>
                <w:sz w:val="20"/>
                <w:szCs w:val="20"/>
              </w:rPr>
              <w:t>Class topic</w:t>
            </w:r>
          </w:p>
        </w:tc>
        <w:tc>
          <w:tcPr>
            <w:tcW w:w="5125" w:type="dxa"/>
          </w:tcPr>
          <w:p w:rsidR="00EC0CA5" w:rsidRPr="004C30C0" w:rsidRDefault="00EC0CA5" w:rsidP="00EC0CA5">
            <w:pPr>
              <w:rPr>
                <w:rStyle w:val="SubtleReference"/>
                <w:sz w:val="20"/>
                <w:szCs w:val="20"/>
              </w:rPr>
            </w:pPr>
            <w:r w:rsidRPr="004C30C0">
              <w:rPr>
                <w:rStyle w:val="SubtleReference"/>
                <w:sz w:val="20"/>
                <w:szCs w:val="20"/>
              </w:rPr>
              <w:t>Homework Assignments (to be completed before the next class)</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w:t>
            </w:r>
          </w:p>
        </w:tc>
        <w:tc>
          <w:tcPr>
            <w:tcW w:w="4402" w:type="dxa"/>
          </w:tcPr>
          <w:p w:rsidR="00BA7D83" w:rsidRPr="004C30C0" w:rsidRDefault="00BA7D83" w:rsidP="002C07CD">
            <w:pPr>
              <w:rPr>
                <w:rStyle w:val="SubtleReference"/>
                <w:color w:val="auto"/>
                <w:sz w:val="20"/>
                <w:szCs w:val="20"/>
              </w:rPr>
            </w:pPr>
            <w:r w:rsidRPr="004C30C0">
              <w:rPr>
                <w:rStyle w:val="SubtleReference"/>
                <w:color w:val="auto"/>
                <w:sz w:val="20"/>
                <w:szCs w:val="20"/>
              </w:rPr>
              <w:t>Introduction</w:t>
            </w:r>
            <w:r w:rsidR="00D81746" w:rsidRPr="004C30C0">
              <w:rPr>
                <w:rStyle w:val="SubtleReference"/>
                <w:color w:val="auto"/>
                <w:sz w:val="20"/>
                <w:szCs w:val="20"/>
              </w:rPr>
              <w:t xml:space="preserve"> </w:t>
            </w:r>
            <w:r w:rsidRPr="004C30C0">
              <w:rPr>
                <w:rStyle w:val="SubtleReference"/>
                <w:color w:val="auto"/>
                <w:sz w:val="20"/>
                <w:szCs w:val="20"/>
              </w:rPr>
              <w:t>/ S</w:t>
            </w:r>
            <w:r w:rsidR="00E10F36" w:rsidRPr="004C30C0">
              <w:rPr>
                <w:rStyle w:val="SubtleReference"/>
                <w:color w:val="auto"/>
                <w:sz w:val="20"/>
                <w:szCs w:val="20"/>
              </w:rPr>
              <w:t>c</w:t>
            </w:r>
            <w:r w:rsidRPr="004C30C0">
              <w:rPr>
                <w:rStyle w:val="SubtleReference"/>
                <w:color w:val="auto"/>
                <w:sz w:val="20"/>
                <w:szCs w:val="20"/>
              </w:rPr>
              <w:t>hiro Survey</w:t>
            </w:r>
            <w:r w:rsidR="00D81746" w:rsidRPr="004C30C0">
              <w:rPr>
                <w:rStyle w:val="SubtleReference"/>
                <w:color w:val="auto"/>
                <w:sz w:val="20"/>
                <w:szCs w:val="20"/>
              </w:rPr>
              <w:t xml:space="preserve"> </w:t>
            </w:r>
            <w:r w:rsidRPr="004C30C0">
              <w:rPr>
                <w:rStyle w:val="SubtleReference"/>
                <w:color w:val="auto"/>
                <w:sz w:val="20"/>
                <w:szCs w:val="20"/>
              </w:rPr>
              <w:t>/ NGSS Intro Video</w:t>
            </w:r>
          </w:p>
        </w:tc>
        <w:tc>
          <w:tcPr>
            <w:tcW w:w="5125" w:type="dxa"/>
          </w:tcPr>
          <w:p w:rsidR="00146EF2" w:rsidRPr="004C30C0" w:rsidRDefault="00146EF2" w:rsidP="008F781A">
            <w:pPr>
              <w:pStyle w:val="ListParagraph"/>
              <w:numPr>
                <w:ilvl w:val="0"/>
                <w:numId w:val="4"/>
              </w:numPr>
              <w:rPr>
                <w:rStyle w:val="SubtleReference"/>
                <w:color w:val="auto"/>
                <w:sz w:val="20"/>
                <w:szCs w:val="20"/>
              </w:rPr>
            </w:pPr>
            <w:r w:rsidRPr="004C30C0">
              <w:rPr>
                <w:rStyle w:val="SubtleReference"/>
                <w:color w:val="auto"/>
                <w:sz w:val="20"/>
                <w:szCs w:val="20"/>
              </w:rPr>
              <w:t>Complete Reaction Paper I</w:t>
            </w:r>
          </w:p>
          <w:p w:rsidR="00BA7D83" w:rsidRPr="004C30C0" w:rsidRDefault="00BA7D83" w:rsidP="008F781A">
            <w:pPr>
              <w:pStyle w:val="ListParagraph"/>
              <w:numPr>
                <w:ilvl w:val="0"/>
                <w:numId w:val="4"/>
              </w:numPr>
              <w:rPr>
                <w:rStyle w:val="SubtleReference"/>
                <w:color w:val="auto"/>
                <w:sz w:val="20"/>
                <w:szCs w:val="20"/>
              </w:rPr>
            </w:pPr>
            <w:r w:rsidRPr="004C30C0">
              <w:rPr>
                <w:rStyle w:val="SubtleReference"/>
                <w:color w:val="auto"/>
                <w:sz w:val="20"/>
                <w:szCs w:val="20"/>
              </w:rPr>
              <w:t>R</w:t>
            </w:r>
            <w:r w:rsidR="00E10F36" w:rsidRPr="004C30C0">
              <w:rPr>
                <w:rStyle w:val="SubtleReference"/>
                <w:color w:val="auto"/>
                <w:sz w:val="20"/>
                <w:szCs w:val="20"/>
              </w:rPr>
              <w:t>ead</w:t>
            </w:r>
            <w:r w:rsidR="00D81746" w:rsidRPr="004C30C0">
              <w:rPr>
                <w:rStyle w:val="SubtleReference"/>
                <w:color w:val="auto"/>
                <w:sz w:val="20"/>
                <w:szCs w:val="20"/>
              </w:rPr>
              <w:t xml:space="preserve"> </w:t>
            </w:r>
            <w:r w:rsidR="00E10F36" w:rsidRPr="004C30C0">
              <w:rPr>
                <w:rStyle w:val="SubtleReference"/>
                <w:color w:val="auto"/>
                <w:sz w:val="20"/>
                <w:szCs w:val="20"/>
              </w:rPr>
              <w:t>Introduction to Curriculum Ideologies by Schiro</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2</w:t>
            </w:r>
          </w:p>
        </w:tc>
        <w:tc>
          <w:tcPr>
            <w:tcW w:w="4402" w:type="dxa"/>
          </w:tcPr>
          <w:p w:rsidR="00BA7D83" w:rsidRPr="004C30C0" w:rsidRDefault="00BA7D83" w:rsidP="002C07CD">
            <w:pPr>
              <w:rPr>
                <w:rStyle w:val="SubtleReference"/>
                <w:color w:val="auto"/>
                <w:sz w:val="20"/>
                <w:szCs w:val="20"/>
              </w:rPr>
            </w:pPr>
            <w:r w:rsidRPr="004C30C0">
              <w:rPr>
                <w:rStyle w:val="SubtleReference"/>
                <w:color w:val="auto"/>
                <w:sz w:val="20"/>
                <w:szCs w:val="20"/>
              </w:rPr>
              <w:t>Reaction Paper I DUE</w:t>
            </w:r>
          </w:p>
          <w:p w:rsidR="00146EF2" w:rsidRPr="004C30C0" w:rsidRDefault="00BA7D83" w:rsidP="002C07CD">
            <w:pPr>
              <w:rPr>
                <w:rStyle w:val="SubtleReference"/>
                <w:color w:val="auto"/>
                <w:sz w:val="20"/>
                <w:szCs w:val="20"/>
              </w:rPr>
            </w:pPr>
            <w:r w:rsidRPr="004C30C0">
              <w:rPr>
                <w:rStyle w:val="SubtleReference"/>
                <w:color w:val="auto"/>
                <w:sz w:val="20"/>
                <w:szCs w:val="20"/>
              </w:rPr>
              <w:t>The Teaching Gap</w:t>
            </w:r>
          </w:p>
        </w:tc>
        <w:tc>
          <w:tcPr>
            <w:tcW w:w="5125" w:type="dxa"/>
          </w:tcPr>
          <w:p w:rsidR="00EC0CA5" w:rsidRPr="004C30C0" w:rsidRDefault="00BA7D83" w:rsidP="008F781A">
            <w:pPr>
              <w:pStyle w:val="ListParagraph"/>
              <w:numPr>
                <w:ilvl w:val="0"/>
                <w:numId w:val="4"/>
              </w:numPr>
              <w:rPr>
                <w:rStyle w:val="SubtleReference"/>
                <w:color w:val="auto"/>
                <w:sz w:val="20"/>
                <w:szCs w:val="20"/>
              </w:rPr>
            </w:pPr>
            <w:r w:rsidRPr="004C30C0">
              <w:rPr>
                <w:rStyle w:val="SubtleReference"/>
                <w:color w:val="auto"/>
                <w:sz w:val="20"/>
                <w:szCs w:val="20"/>
              </w:rPr>
              <w:t>Read A Year Without Procedures by Lisa Backus</w:t>
            </w:r>
          </w:p>
          <w:p w:rsidR="00BA7D83" w:rsidRPr="004C30C0" w:rsidRDefault="00BA7D83" w:rsidP="008F781A">
            <w:pPr>
              <w:pStyle w:val="ListParagraph"/>
              <w:numPr>
                <w:ilvl w:val="0"/>
                <w:numId w:val="4"/>
              </w:numPr>
              <w:rPr>
                <w:rStyle w:val="SubtleReference"/>
                <w:color w:val="auto"/>
                <w:sz w:val="20"/>
                <w:szCs w:val="20"/>
              </w:rPr>
            </w:pPr>
            <w:r w:rsidRPr="004C30C0">
              <w:rPr>
                <w:rStyle w:val="SubtleReference"/>
                <w:color w:val="auto"/>
                <w:sz w:val="20"/>
                <w:szCs w:val="20"/>
              </w:rPr>
              <w:t xml:space="preserve">Read </w:t>
            </w:r>
            <w:r w:rsidR="00434082" w:rsidRPr="004C30C0">
              <w:rPr>
                <w:rStyle w:val="SubtleReference"/>
                <w:color w:val="auto"/>
                <w:sz w:val="20"/>
                <w:szCs w:val="20"/>
              </w:rPr>
              <w:t>Developing Students’ Ability t</w:t>
            </w:r>
            <w:r w:rsidR="008F781A" w:rsidRPr="004C30C0">
              <w:rPr>
                <w:rStyle w:val="SubtleReference"/>
                <w:color w:val="auto"/>
                <w:sz w:val="20"/>
                <w:szCs w:val="20"/>
              </w:rPr>
              <w:t xml:space="preserve">o Ask More and Better Questions </w:t>
            </w:r>
            <w:r w:rsidR="00434082" w:rsidRPr="004C30C0">
              <w:rPr>
                <w:rStyle w:val="SubtleReference"/>
                <w:color w:val="auto"/>
                <w:sz w:val="20"/>
                <w:szCs w:val="20"/>
              </w:rPr>
              <w:t>Resulting from Inquiry-Type Chemistry Laboratories</w:t>
            </w:r>
            <w:r w:rsidR="00D81746" w:rsidRPr="004C30C0">
              <w:rPr>
                <w:rStyle w:val="SubtleReference"/>
                <w:color w:val="auto"/>
                <w:sz w:val="20"/>
                <w:szCs w:val="20"/>
              </w:rPr>
              <w:t xml:space="preserve"> </w:t>
            </w:r>
            <w:r w:rsidRPr="004C30C0">
              <w:rPr>
                <w:rStyle w:val="SubtleReference"/>
                <w:color w:val="auto"/>
                <w:sz w:val="20"/>
                <w:szCs w:val="20"/>
              </w:rPr>
              <w:t xml:space="preserve">by </w:t>
            </w:r>
            <w:r w:rsidR="00434082" w:rsidRPr="004C30C0">
              <w:rPr>
                <w:rStyle w:val="SubtleReference"/>
                <w:color w:val="auto"/>
                <w:sz w:val="20"/>
                <w:szCs w:val="20"/>
              </w:rPr>
              <w:t xml:space="preserve">Avi </w:t>
            </w:r>
            <w:r w:rsidRPr="004C30C0">
              <w:rPr>
                <w:rStyle w:val="SubtleReference"/>
                <w:color w:val="auto"/>
                <w:sz w:val="20"/>
                <w:szCs w:val="20"/>
              </w:rPr>
              <w:t>Hofstein</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3</w:t>
            </w:r>
          </w:p>
        </w:tc>
        <w:tc>
          <w:tcPr>
            <w:tcW w:w="4402" w:type="dxa"/>
          </w:tcPr>
          <w:p w:rsidR="00EC0CA5" w:rsidRPr="004C30C0" w:rsidRDefault="00BA7D83" w:rsidP="002C07CD">
            <w:pPr>
              <w:rPr>
                <w:rStyle w:val="SubtleReference"/>
                <w:color w:val="auto"/>
                <w:sz w:val="20"/>
                <w:szCs w:val="20"/>
              </w:rPr>
            </w:pPr>
            <w:r w:rsidRPr="004C30C0">
              <w:rPr>
                <w:rStyle w:val="SubtleReference"/>
                <w:color w:val="auto"/>
                <w:sz w:val="20"/>
                <w:szCs w:val="20"/>
              </w:rPr>
              <w:t>History of Reform in Science Education</w:t>
            </w:r>
          </w:p>
        </w:tc>
        <w:tc>
          <w:tcPr>
            <w:tcW w:w="5125" w:type="dxa"/>
          </w:tcPr>
          <w:p w:rsidR="00EC0CA5" w:rsidRPr="004C30C0" w:rsidRDefault="00D81746" w:rsidP="008F781A">
            <w:pPr>
              <w:pStyle w:val="ListParagraph"/>
              <w:numPr>
                <w:ilvl w:val="0"/>
                <w:numId w:val="4"/>
              </w:numPr>
              <w:rPr>
                <w:rStyle w:val="SubtleReference"/>
                <w:color w:val="auto"/>
                <w:sz w:val="20"/>
                <w:szCs w:val="20"/>
              </w:rPr>
            </w:pPr>
            <w:r w:rsidRPr="004C30C0">
              <w:rPr>
                <w:rStyle w:val="SubtleReference"/>
                <w:color w:val="auto"/>
                <w:sz w:val="20"/>
                <w:szCs w:val="20"/>
              </w:rPr>
              <w:t>Complete Reaction Paper 2</w:t>
            </w:r>
          </w:p>
          <w:p w:rsidR="00D81746" w:rsidRPr="004C30C0" w:rsidRDefault="00D81746" w:rsidP="008F781A">
            <w:pPr>
              <w:pStyle w:val="ListParagraph"/>
              <w:numPr>
                <w:ilvl w:val="0"/>
                <w:numId w:val="4"/>
              </w:numPr>
              <w:rPr>
                <w:rStyle w:val="SubtleReference"/>
                <w:color w:val="auto"/>
                <w:sz w:val="20"/>
                <w:szCs w:val="20"/>
              </w:rPr>
            </w:pPr>
            <w:r w:rsidRPr="004C30C0">
              <w:rPr>
                <w:rStyle w:val="SubtleReference"/>
                <w:color w:val="auto"/>
                <w:sz w:val="20"/>
                <w:szCs w:val="20"/>
              </w:rPr>
              <w:t>Read The Death Valley of Change by Elrod and Tippett</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4</w:t>
            </w:r>
          </w:p>
        </w:tc>
        <w:tc>
          <w:tcPr>
            <w:tcW w:w="4402" w:type="dxa"/>
          </w:tcPr>
          <w:p w:rsidR="00D81746" w:rsidRPr="004C30C0" w:rsidRDefault="00D81746" w:rsidP="002C07CD">
            <w:pPr>
              <w:rPr>
                <w:rStyle w:val="SubtleReference"/>
                <w:color w:val="auto"/>
                <w:sz w:val="20"/>
                <w:szCs w:val="20"/>
              </w:rPr>
            </w:pPr>
            <w:r w:rsidRPr="004C30C0">
              <w:rPr>
                <w:rStyle w:val="SubtleReference"/>
                <w:color w:val="auto"/>
                <w:sz w:val="20"/>
                <w:szCs w:val="20"/>
              </w:rPr>
              <w:t>Reaction Paper II DUE</w:t>
            </w:r>
          </w:p>
          <w:p w:rsidR="00EC0CA5" w:rsidRPr="004C30C0" w:rsidRDefault="00D81746" w:rsidP="002C07CD">
            <w:pPr>
              <w:rPr>
                <w:rStyle w:val="SubtleReference"/>
                <w:color w:val="auto"/>
                <w:sz w:val="20"/>
                <w:szCs w:val="20"/>
              </w:rPr>
            </w:pPr>
            <w:r w:rsidRPr="004C30C0">
              <w:rPr>
                <w:rStyle w:val="SubtleReference"/>
                <w:color w:val="auto"/>
                <w:sz w:val="20"/>
                <w:szCs w:val="20"/>
              </w:rPr>
              <w:t>Change Curves</w:t>
            </w:r>
          </w:p>
        </w:tc>
        <w:tc>
          <w:tcPr>
            <w:tcW w:w="5125" w:type="dxa"/>
          </w:tcPr>
          <w:p w:rsidR="00EC0CA5" w:rsidRPr="004C30C0" w:rsidRDefault="00D81746" w:rsidP="008F781A">
            <w:pPr>
              <w:pStyle w:val="ListParagraph"/>
              <w:numPr>
                <w:ilvl w:val="0"/>
                <w:numId w:val="4"/>
              </w:numPr>
              <w:rPr>
                <w:rStyle w:val="SubtleReference"/>
                <w:color w:val="auto"/>
                <w:sz w:val="20"/>
                <w:szCs w:val="20"/>
              </w:rPr>
            </w:pPr>
            <w:r w:rsidRPr="004C30C0">
              <w:rPr>
                <w:rStyle w:val="SubtleReference"/>
                <w:color w:val="auto"/>
                <w:sz w:val="20"/>
                <w:szCs w:val="20"/>
              </w:rPr>
              <w:t xml:space="preserve">In the Framework for K-12 Science Education read chapter 3, Dimension 1: Scientific and Engineering Practices, and read chapter 4, Dimension 2: Cross Cutting Concepts </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5</w:t>
            </w:r>
          </w:p>
        </w:tc>
        <w:tc>
          <w:tcPr>
            <w:tcW w:w="4402" w:type="dxa"/>
          </w:tcPr>
          <w:p w:rsidR="00EC0CA5" w:rsidRPr="004C30C0" w:rsidRDefault="00D81746" w:rsidP="002C07CD">
            <w:pPr>
              <w:rPr>
                <w:rStyle w:val="SubtleReference"/>
                <w:color w:val="auto"/>
                <w:sz w:val="20"/>
                <w:szCs w:val="20"/>
              </w:rPr>
            </w:pPr>
            <w:r w:rsidRPr="004C30C0">
              <w:rPr>
                <w:rStyle w:val="SubtleReference"/>
                <w:color w:val="auto"/>
                <w:sz w:val="20"/>
                <w:szCs w:val="20"/>
              </w:rPr>
              <w:t>Decoding the NGSS / Map Discipline and Compare</w:t>
            </w:r>
          </w:p>
        </w:tc>
        <w:tc>
          <w:tcPr>
            <w:tcW w:w="5125" w:type="dxa"/>
          </w:tcPr>
          <w:p w:rsidR="00EC0CA5" w:rsidRPr="004C30C0" w:rsidRDefault="00D81746" w:rsidP="003A7925">
            <w:pPr>
              <w:pStyle w:val="ListParagraph"/>
              <w:numPr>
                <w:ilvl w:val="0"/>
                <w:numId w:val="4"/>
              </w:numPr>
              <w:rPr>
                <w:rStyle w:val="SubtleReference"/>
                <w:color w:val="auto"/>
                <w:sz w:val="20"/>
                <w:szCs w:val="20"/>
              </w:rPr>
            </w:pPr>
            <w:r w:rsidRPr="004C30C0">
              <w:rPr>
                <w:rStyle w:val="SubtleReference"/>
                <w:color w:val="auto"/>
                <w:sz w:val="20"/>
                <w:szCs w:val="20"/>
              </w:rPr>
              <w:t>In the Framework for K-12 Science Education read the Dimension 3 chapter appropriate to your particular discipline and read the Dimension 3 entitled Disciplinary Core Ideas—Engineering, Technology, and</w:t>
            </w:r>
            <w:r w:rsidR="003A7925" w:rsidRPr="004C30C0">
              <w:rPr>
                <w:rStyle w:val="SubtleReference"/>
                <w:color w:val="auto"/>
                <w:sz w:val="20"/>
                <w:szCs w:val="20"/>
              </w:rPr>
              <w:t xml:space="preserve"> </w:t>
            </w:r>
            <w:r w:rsidRPr="004C30C0">
              <w:rPr>
                <w:rStyle w:val="SubtleReference"/>
                <w:color w:val="auto"/>
                <w:sz w:val="20"/>
                <w:szCs w:val="20"/>
              </w:rPr>
              <w:t xml:space="preserve">Applications of Science   </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6</w:t>
            </w:r>
          </w:p>
        </w:tc>
        <w:tc>
          <w:tcPr>
            <w:tcW w:w="4402" w:type="dxa"/>
          </w:tcPr>
          <w:p w:rsidR="00EC0CA5" w:rsidRPr="004C30C0" w:rsidRDefault="00BF2F0B" w:rsidP="002C07CD">
            <w:pPr>
              <w:rPr>
                <w:rStyle w:val="SubtleReference"/>
                <w:color w:val="auto"/>
                <w:sz w:val="20"/>
                <w:szCs w:val="20"/>
              </w:rPr>
            </w:pPr>
            <w:r w:rsidRPr="004C30C0">
              <w:rPr>
                <w:rStyle w:val="SubtleReference"/>
                <w:color w:val="auto"/>
                <w:sz w:val="20"/>
                <w:szCs w:val="20"/>
              </w:rPr>
              <w:t>PSE, XCC, NOS</w:t>
            </w:r>
          </w:p>
          <w:p w:rsidR="00BF2F0B" w:rsidRPr="004C30C0" w:rsidRDefault="00BF2F0B" w:rsidP="002C07CD">
            <w:pPr>
              <w:rPr>
                <w:rStyle w:val="SubtleReference"/>
                <w:color w:val="auto"/>
                <w:sz w:val="20"/>
                <w:szCs w:val="20"/>
              </w:rPr>
            </w:pPr>
            <w:r w:rsidRPr="004C30C0">
              <w:rPr>
                <w:rStyle w:val="SubtleReference"/>
                <w:color w:val="auto"/>
                <w:sz w:val="20"/>
                <w:szCs w:val="20"/>
              </w:rPr>
              <w:t>Watch &amp; Discuss Teaching Channel videos</w:t>
            </w:r>
          </w:p>
        </w:tc>
        <w:tc>
          <w:tcPr>
            <w:tcW w:w="5125" w:type="dxa"/>
          </w:tcPr>
          <w:p w:rsidR="00434082" w:rsidRPr="004C30C0" w:rsidRDefault="00DA5AB9" w:rsidP="008F781A">
            <w:pPr>
              <w:pStyle w:val="ListParagraph"/>
              <w:numPr>
                <w:ilvl w:val="0"/>
                <w:numId w:val="4"/>
              </w:numPr>
              <w:rPr>
                <w:rStyle w:val="SubtleReference"/>
                <w:color w:val="auto"/>
                <w:sz w:val="20"/>
                <w:szCs w:val="20"/>
              </w:rPr>
            </w:pPr>
            <w:r w:rsidRPr="004C30C0">
              <w:rPr>
                <w:rStyle w:val="SubtleReference"/>
                <w:color w:val="auto"/>
                <w:sz w:val="20"/>
                <w:szCs w:val="20"/>
              </w:rPr>
              <w:t>Read Where Are We Now and What Have We Learned by Stephen Pruitt</w:t>
            </w:r>
            <w:r w:rsidR="00434082" w:rsidRPr="004C30C0">
              <w:rPr>
                <w:rStyle w:val="SubtleReference"/>
                <w:color w:val="auto"/>
                <w:sz w:val="20"/>
                <w:szCs w:val="20"/>
              </w:rPr>
              <w:t xml:space="preserve"> </w:t>
            </w:r>
          </w:p>
          <w:p w:rsidR="00EC0CA5" w:rsidRPr="004C30C0" w:rsidRDefault="00434082" w:rsidP="008F781A">
            <w:pPr>
              <w:pStyle w:val="ListParagraph"/>
              <w:numPr>
                <w:ilvl w:val="0"/>
                <w:numId w:val="4"/>
              </w:numPr>
              <w:rPr>
                <w:rStyle w:val="SubtleReference"/>
                <w:color w:val="auto"/>
                <w:sz w:val="20"/>
                <w:szCs w:val="20"/>
              </w:rPr>
            </w:pPr>
            <w:r w:rsidRPr="004C30C0">
              <w:rPr>
                <w:rStyle w:val="SubtleReference"/>
                <w:color w:val="auto"/>
                <w:sz w:val="20"/>
                <w:szCs w:val="20"/>
              </w:rPr>
              <w:t>Design a lesson plan for an NGSS lesson that is aligned to the three dimensions of the NGSS</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7</w:t>
            </w:r>
          </w:p>
        </w:tc>
        <w:tc>
          <w:tcPr>
            <w:tcW w:w="4402" w:type="dxa"/>
          </w:tcPr>
          <w:p w:rsidR="00434082" w:rsidRPr="004C30C0" w:rsidRDefault="00434082" w:rsidP="00434082">
            <w:pPr>
              <w:rPr>
                <w:rStyle w:val="SubtleReference"/>
                <w:color w:val="auto"/>
                <w:sz w:val="20"/>
                <w:szCs w:val="20"/>
              </w:rPr>
            </w:pPr>
            <w:r w:rsidRPr="004C30C0">
              <w:rPr>
                <w:rStyle w:val="SubtleReference"/>
                <w:color w:val="auto"/>
                <w:sz w:val="20"/>
                <w:szCs w:val="20"/>
              </w:rPr>
              <w:t>NGSS Aligned Lesson Plan DUE</w:t>
            </w:r>
          </w:p>
          <w:p w:rsidR="00EC0CA5" w:rsidRPr="004C30C0" w:rsidRDefault="00BF2F0B" w:rsidP="002C07CD">
            <w:pPr>
              <w:rPr>
                <w:rStyle w:val="SubtleReference"/>
                <w:color w:val="auto"/>
                <w:sz w:val="20"/>
                <w:szCs w:val="20"/>
              </w:rPr>
            </w:pPr>
            <w:r w:rsidRPr="004C30C0">
              <w:rPr>
                <w:rStyle w:val="SubtleReference"/>
                <w:color w:val="auto"/>
                <w:sz w:val="20"/>
                <w:szCs w:val="20"/>
              </w:rPr>
              <w:t>AMNH Tool 1</w:t>
            </w:r>
          </w:p>
        </w:tc>
        <w:tc>
          <w:tcPr>
            <w:tcW w:w="5125" w:type="dxa"/>
          </w:tcPr>
          <w:p w:rsidR="00DA5AB9" w:rsidRPr="004C30C0" w:rsidRDefault="00BF2F0B" w:rsidP="008F781A">
            <w:pPr>
              <w:pStyle w:val="ListParagraph"/>
              <w:numPr>
                <w:ilvl w:val="0"/>
                <w:numId w:val="4"/>
              </w:numPr>
              <w:rPr>
                <w:rStyle w:val="SubtleReference"/>
                <w:color w:val="auto"/>
                <w:sz w:val="20"/>
                <w:szCs w:val="20"/>
              </w:rPr>
            </w:pPr>
            <w:r w:rsidRPr="004C30C0">
              <w:rPr>
                <w:rStyle w:val="SubtleReference"/>
                <w:color w:val="auto"/>
                <w:sz w:val="20"/>
                <w:szCs w:val="20"/>
              </w:rPr>
              <w:t xml:space="preserve">Complete AMNH Tool 3 Readings </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8</w:t>
            </w:r>
          </w:p>
        </w:tc>
        <w:tc>
          <w:tcPr>
            <w:tcW w:w="4402" w:type="dxa"/>
          </w:tcPr>
          <w:p w:rsidR="00EC0CA5" w:rsidRPr="004C30C0" w:rsidRDefault="00BF2F0B" w:rsidP="002C07CD">
            <w:pPr>
              <w:rPr>
                <w:rStyle w:val="SubtleReference"/>
                <w:color w:val="auto"/>
                <w:sz w:val="20"/>
                <w:szCs w:val="20"/>
              </w:rPr>
            </w:pPr>
            <w:r w:rsidRPr="004C30C0">
              <w:rPr>
                <w:rStyle w:val="SubtleReference"/>
                <w:color w:val="auto"/>
                <w:sz w:val="20"/>
                <w:szCs w:val="20"/>
              </w:rPr>
              <w:t>AMNH Tool 3 (5E Model)</w:t>
            </w:r>
          </w:p>
        </w:tc>
        <w:tc>
          <w:tcPr>
            <w:tcW w:w="5125" w:type="dxa"/>
          </w:tcPr>
          <w:p w:rsidR="00EC0CA5" w:rsidRPr="004C30C0" w:rsidRDefault="00434082" w:rsidP="008F781A">
            <w:pPr>
              <w:pStyle w:val="ListParagraph"/>
              <w:numPr>
                <w:ilvl w:val="0"/>
                <w:numId w:val="4"/>
              </w:numPr>
              <w:rPr>
                <w:rStyle w:val="SubtleReference"/>
                <w:color w:val="auto"/>
                <w:sz w:val="20"/>
                <w:szCs w:val="20"/>
              </w:rPr>
            </w:pPr>
            <w:r w:rsidRPr="004C30C0">
              <w:rPr>
                <w:rStyle w:val="SubtleReference"/>
                <w:color w:val="auto"/>
                <w:sz w:val="20"/>
                <w:szCs w:val="20"/>
              </w:rPr>
              <w:t>Complete Reaction Paper III</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9</w:t>
            </w:r>
          </w:p>
        </w:tc>
        <w:tc>
          <w:tcPr>
            <w:tcW w:w="4402" w:type="dxa"/>
          </w:tcPr>
          <w:p w:rsidR="00434082" w:rsidRPr="004C30C0" w:rsidRDefault="00434082" w:rsidP="002C07CD">
            <w:pPr>
              <w:rPr>
                <w:rStyle w:val="SubtleReference"/>
                <w:color w:val="auto"/>
                <w:sz w:val="20"/>
                <w:szCs w:val="20"/>
              </w:rPr>
            </w:pPr>
            <w:r w:rsidRPr="004C30C0">
              <w:rPr>
                <w:rStyle w:val="SubtleReference"/>
                <w:color w:val="auto"/>
                <w:sz w:val="20"/>
                <w:szCs w:val="20"/>
              </w:rPr>
              <w:t>Reaction Paper III DUE</w:t>
            </w:r>
          </w:p>
          <w:p w:rsidR="00DA5AB9" w:rsidRPr="004C30C0" w:rsidRDefault="00DA5AB9" w:rsidP="002C07CD">
            <w:pPr>
              <w:rPr>
                <w:rStyle w:val="SubtleReference"/>
                <w:color w:val="auto"/>
                <w:sz w:val="20"/>
                <w:szCs w:val="20"/>
              </w:rPr>
            </w:pPr>
            <w:r w:rsidRPr="004C30C0">
              <w:rPr>
                <w:rStyle w:val="SubtleReference"/>
                <w:color w:val="auto"/>
                <w:sz w:val="20"/>
                <w:szCs w:val="20"/>
              </w:rPr>
              <w:t>Four Circles Activity</w:t>
            </w:r>
          </w:p>
        </w:tc>
        <w:tc>
          <w:tcPr>
            <w:tcW w:w="5125" w:type="dxa"/>
          </w:tcPr>
          <w:p w:rsidR="00EC0CA5" w:rsidRPr="004C30C0" w:rsidRDefault="00F47632" w:rsidP="008F781A">
            <w:pPr>
              <w:pStyle w:val="ListParagraph"/>
              <w:numPr>
                <w:ilvl w:val="0"/>
                <w:numId w:val="4"/>
              </w:numPr>
              <w:tabs>
                <w:tab w:val="left" w:pos="990"/>
              </w:tabs>
              <w:rPr>
                <w:rStyle w:val="SubtleReference"/>
                <w:color w:val="auto"/>
                <w:sz w:val="20"/>
                <w:szCs w:val="20"/>
              </w:rPr>
            </w:pPr>
            <w:r w:rsidRPr="004C30C0">
              <w:rPr>
                <w:rStyle w:val="SubtleReference"/>
                <w:color w:val="auto"/>
                <w:sz w:val="20"/>
                <w:szCs w:val="20"/>
              </w:rPr>
              <w:t>Read Appendix K</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10</w:t>
            </w:r>
          </w:p>
        </w:tc>
        <w:tc>
          <w:tcPr>
            <w:tcW w:w="4402" w:type="dxa"/>
          </w:tcPr>
          <w:p w:rsidR="00EC0CA5" w:rsidRPr="004C30C0" w:rsidRDefault="00F47632" w:rsidP="002C07CD">
            <w:pPr>
              <w:rPr>
                <w:rStyle w:val="SubtleReference"/>
                <w:color w:val="auto"/>
                <w:sz w:val="20"/>
                <w:szCs w:val="20"/>
              </w:rPr>
            </w:pPr>
            <w:r w:rsidRPr="004C30C0">
              <w:rPr>
                <w:rStyle w:val="SubtleReference"/>
                <w:color w:val="auto"/>
                <w:sz w:val="20"/>
                <w:szCs w:val="20"/>
              </w:rPr>
              <w:t>Appendix K and Timelines</w:t>
            </w:r>
          </w:p>
        </w:tc>
        <w:tc>
          <w:tcPr>
            <w:tcW w:w="5125" w:type="dxa"/>
          </w:tcPr>
          <w:p w:rsidR="00EC0CA5"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Finish Timeline</w:t>
            </w:r>
          </w:p>
          <w:p w:rsidR="00F47632"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Read Mager Chapter</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11</w:t>
            </w:r>
          </w:p>
        </w:tc>
        <w:tc>
          <w:tcPr>
            <w:tcW w:w="4402" w:type="dxa"/>
          </w:tcPr>
          <w:p w:rsidR="00EC0CA5" w:rsidRPr="004C30C0" w:rsidRDefault="00F47632" w:rsidP="002C07CD">
            <w:pPr>
              <w:rPr>
                <w:rStyle w:val="SubtleReference"/>
                <w:color w:val="auto"/>
                <w:sz w:val="20"/>
                <w:szCs w:val="20"/>
              </w:rPr>
            </w:pPr>
            <w:r w:rsidRPr="004C30C0">
              <w:rPr>
                <w:rStyle w:val="SubtleReference"/>
                <w:color w:val="auto"/>
                <w:sz w:val="20"/>
                <w:szCs w:val="20"/>
              </w:rPr>
              <w:t>Learning Objectives</w:t>
            </w:r>
          </w:p>
        </w:tc>
        <w:tc>
          <w:tcPr>
            <w:tcW w:w="5125" w:type="dxa"/>
          </w:tcPr>
          <w:p w:rsidR="00EC0CA5"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Complete the rough draft of your scope and sequence project</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12</w:t>
            </w:r>
          </w:p>
        </w:tc>
        <w:tc>
          <w:tcPr>
            <w:tcW w:w="4402" w:type="dxa"/>
          </w:tcPr>
          <w:p w:rsidR="00EC0CA5" w:rsidRPr="004C30C0" w:rsidRDefault="00F47632" w:rsidP="002C07CD">
            <w:pPr>
              <w:rPr>
                <w:rStyle w:val="SubtleReference"/>
                <w:color w:val="auto"/>
                <w:sz w:val="20"/>
                <w:szCs w:val="20"/>
              </w:rPr>
            </w:pPr>
            <w:r w:rsidRPr="004C30C0">
              <w:rPr>
                <w:rStyle w:val="SubtleReference"/>
                <w:color w:val="auto"/>
                <w:sz w:val="20"/>
                <w:szCs w:val="20"/>
              </w:rPr>
              <w:t>Peer Review</w:t>
            </w:r>
          </w:p>
        </w:tc>
        <w:tc>
          <w:tcPr>
            <w:tcW w:w="5125" w:type="dxa"/>
          </w:tcPr>
          <w:p w:rsidR="00EC0CA5"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Work on Scope and Sequence</w:t>
            </w:r>
          </w:p>
          <w:p w:rsidR="00F47632"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Read assigned classroom sample task</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13</w:t>
            </w:r>
          </w:p>
        </w:tc>
        <w:tc>
          <w:tcPr>
            <w:tcW w:w="4402" w:type="dxa"/>
          </w:tcPr>
          <w:p w:rsidR="00EC0CA5" w:rsidRPr="004C30C0" w:rsidRDefault="00F47632" w:rsidP="002C07CD">
            <w:pPr>
              <w:rPr>
                <w:rStyle w:val="SubtleReference"/>
                <w:color w:val="auto"/>
                <w:sz w:val="20"/>
                <w:szCs w:val="20"/>
              </w:rPr>
            </w:pPr>
            <w:r w:rsidRPr="004C30C0">
              <w:rPr>
                <w:rStyle w:val="SubtleReference"/>
                <w:color w:val="auto"/>
                <w:sz w:val="20"/>
                <w:szCs w:val="20"/>
              </w:rPr>
              <w:t>Assessment and the NGSS</w:t>
            </w:r>
          </w:p>
        </w:tc>
        <w:tc>
          <w:tcPr>
            <w:tcW w:w="5125" w:type="dxa"/>
          </w:tcPr>
          <w:p w:rsidR="00EC0CA5" w:rsidRPr="004C30C0" w:rsidRDefault="00F47632" w:rsidP="008F781A">
            <w:pPr>
              <w:pStyle w:val="ListParagraph"/>
              <w:numPr>
                <w:ilvl w:val="0"/>
                <w:numId w:val="4"/>
              </w:numPr>
              <w:rPr>
                <w:rStyle w:val="SubtleReference"/>
                <w:color w:val="auto"/>
                <w:sz w:val="20"/>
                <w:szCs w:val="20"/>
              </w:rPr>
            </w:pPr>
            <w:r w:rsidRPr="004C30C0">
              <w:rPr>
                <w:rStyle w:val="SubtleReference"/>
                <w:color w:val="auto"/>
                <w:sz w:val="20"/>
                <w:szCs w:val="20"/>
              </w:rPr>
              <w:t>Finish Scope and Sequence</w:t>
            </w:r>
          </w:p>
        </w:tc>
      </w:tr>
      <w:tr w:rsidR="00EC0CA5" w:rsidRPr="004C30C0" w:rsidTr="00EC0CA5">
        <w:tc>
          <w:tcPr>
            <w:tcW w:w="1263" w:type="dxa"/>
          </w:tcPr>
          <w:p w:rsidR="00EC0CA5" w:rsidRPr="004C30C0" w:rsidRDefault="00EC0CA5" w:rsidP="002C07CD">
            <w:pPr>
              <w:rPr>
                <w:rStyle w:val="SubtleReference"/>
                <w:color w:val="auto"/>
                <w:sz w:val="20"/>
                <w:szCs w:val="20"/>
              </w:rPr>
            </w:pPr>
            <w:r w:rsidRPr="004C30C0">
              <w:rPr>
                <w:rStyle w:val="SubtleReference"/>
                <w:color w:val="auto"/>
                <w:sz w:val="20"/>
                <w:szCs w:val="20"/>
              </w:rPr>
              <w:t>14</w:t>
            </w:r>
          </w:p>
        </w:tc>
        <w:tc>
          <w:tcPr>
            <w:tcW w:w="4402" w:type="dxa"/>
          </w:tcPr>
          <w:p w:rsidR="00F47632" w:rsidRPr="004C30C0" w:rsidRDefault="00FA14B0" w:rsidP="002C07CD">
            <w:pPr>
              <w:rPr>
                <w:rStyle w:val="SubtleReference"/>
                <w:color w:val="auto"/>
                <w:sz w:val="20"/>
                <w:szCs w:val="20"/>
              </w:rPr>
            </w:pPr>
            <w:r w:rsidRPr="004C30C0">
              <w:rPr>
                <w:rStyle w:val="SubtleReference"/>
                <w:color w:val="auto"/>
                <w:sz w:val="20"/>
                <w:szCs w:val="20"/>
              </w:rPr>
              <w:t>Scope and Sequence Projects DUE</w:t>
            </w:r>
          </w:p>
          <w:p w:rsidR="00EC0CA5" w:rsidRPr="004C30C0" w:rsidRDefault="00F47632" w:rsidP="00434082">
            <w:pPr>
              <w:tabs>
                <w:tab w:val="right" w:pos="4186"/>
              </w:tabs>
              <w:rPr>
                <w:rStyle w:val="SubtleReference"/>
                <w:color w:val="auto"/>
                <w:sz w:val="20"/>
                <w:szCs w:val="20"/>
              </w:rPr>
            </w:pPr>
            <w:r w:rsidRPr="004C30C0">
              <w:rPr>
                <w:rStyle w:val="SubtleReference"/>
                <w:color w:val="auto"/>
                <w:sz w:val="20"/>
                <w:szCs w:val="20"/>
              </w:rPr>
              <w:t>Presentation Day</w:t>
            </w:r>
            <w:r w:rsidR="00E10F36" w:rsidRPr="004C30C0">
              <w:rPr>
                <w:rStyle w:val="SubtleReference"/>
                <w:color w:val="auto"/>
                <w:sz w:val="20"/>
                <w:szCs w:val="20"/>
              </w:rPr>
              <w:t xml:space="preserve"> – Course Evaluations</w:t>
            </w:r>
          </w:p>
        </w:tc>
        <w:tc>
          <w:tcPr>
            <w:tcW w:w="5125" w:type="dxa"/>
          </w:tcPr>
          <w:p w:rsidR="00EC0CA5" w:rsidRPr="004C30C0" w:rsidRDefault="00EC0CA5" w:rsidP="002C07CD">
            <w:pPr>
              <w:rPr>
                <w:rStyle w:val="SubtleReference"/>
                <w:color w:val="auto"/>
                <w:sz w:val="20"/>
                <w:szCs w:val="20"/>
              </w:rPr>
            </w:pPr>
          </w:p>
        </w:tc>
      </w:tr>
    </w:tbl>
    <w:p w:rsidR="00434082" w:rsidRPr="004C30C0" w:rsidRDefault="00E10F36" w:rsidP="00E10F36">
      <w:pPr>
        <w:pStyle w:val="Heading5"/>
        <w:rPr>
          <w:sz w:val="20"/>
          <w:szCs w:val="20"/>
        </w:rPr>
      </w:pPr>
      <w:r w:rsidRPr="004C30C0">
        <w:rPr>
          <w:sz w:val="20"/>
          <w:szCs w:val="20"/>
        </w:rPr>
        <w:t>References</w:t>
      </w:r>
    </w:p>
    <w:p w:rsidR="004C30C0" w:rsidRPr="004C30C0" w:rsidRDefault="004C30C0" w:rsidP="00747EFC">
      <w:pPr>
        <w:spacing w:after="0" w:line="480" w:lineRule="auto"/>
        <w:ind w:left="1440" w:hanging="720"/>
        <w:rPr>
          <w:sz w:val="20"/>
          <w:szCs w:val="20"/>
        </w:rPr>
      </w:pPr>
      <w:r w:rsidRPr="004C30C0">
        <w:rPr>
          <w:sz w:val="20"/>
          <w:szCs w:val="20"/>
        </w:rPr>
        <w:t>Backus, L. (2005). A year without procedures: removing procedures from chemistry labs creates opportunities for student inquiry. </w:t>
      </w:r>
      <w:r w:rsidRPr="004C30C0">
        <w:rPr>
          <w:i/>
          <w:iCs/>
          <w:sz w:val="20"/>
          <w:szCs w:val="20"/>
        </w:rPr>
        <w:t>The Science Teacher</w:t>
      </w:r>
      <w:r w:rsidRPr="004C30C0">
        <w:rPr>
          <w:sz w:val="20"/>
          <w:szCs w:val="20"/>
        </w:rPr>
        <w:t>, </w:t>
      </w:r>
      <w:r w:rsidRPr="004C30C0">
        <w:rPr>
          <w:i/>
          <w:iCs/>
          <w:sz w:val="20"/>
          <w:szCs w:val="20"/>
        </w:rPr>
        <w:t>72</w:t>
      </w:r>
      <w:r w:rsidRPr="004C30C0">
        <w:rPr>
          <w:sz w:val="20"/>
          <w:szCs w:val="20"/>
        </w:rPr>
        <w:t>(7), 54-58.</w:t>
      </w:r>
    </w:p>
    <w:p w:rsidR="004C30C0" w:rsidRPr="004C30C0" w:rsidRDefault="004C30C0" w:rsidP="00747EFC">
      <w:pPr>
        <w:spacing w:after="0" w:line="480" w:lineRule="auto"/>
        <w:ind w:left="1440" w:hanging="720"/>
        <w:rPr>
          <w:sz w:val="20"/>
          <w:szCs w:val="20"/>
        </w:rPr>
      </w:pPr>
      <w:r w:rsidRPr="004C30C0">
        <w:rPr>
          <w:sz w:val="20"/>
          <w:szCs w:val="20"/>
        </w:rPr>
        <w:t>Elrod, P. D., &amp; Tippett, D. D. (2002). The “death valley” of change. </w:t>
      </w:r>
      <w:r w:rsidRPr="004C30C0">
        <w:rPr>
          <w:i/>
          <w:iCs/>
          <w:sz w:val="20"/>
          <w:szCs w:val="20"/>
        </w:rPr>
        <w:t>Journal of Organizational Change Management</w:t>
      </w:r>
      <w:r w:rsidRPr="004C30C0">
        <w:rPr>
          <w:sz w:val="20"/>
          <w:szCs w:val="20"/>
        </w:rPr>
        <w:t>, </w:t>
      </w:r>
      <w:r w:rsidRPr="004C30C0">
        <w:rPr>
          <w:i/>
          <w:iCs/>
          <w:sz w:val="20"/>
          <w:szCs w:val="20"/>
        </w:rPr>
        <w:t>15</w:t>
      </w:r>
      <w:r w:rsidRPr="004C30C0">
        <w:rPr>
          <w:sz w:val="20"/>
          <w:szCs w:val="20"/>
        </w:rPr>
        <w:t>(3), 273-291.</w:t>
      </w:r>
    </w:p>
    <w:p w:rsidR="004C30C0" w:rsidRPr="004C30C0" w:rsidRDefault="004C30C0" w:rsidP="00747EFC">
      <w:pPr>
        <w:spacing w:after="0" w:line="480" w:lineRule="auto"/>
        <w:ind w:left="1440" w:hanging="720"/>
        <w:rPr>
          <w:sz w:val="20"/>
          <w:szCs w:val="20"/>
        </w:rPr>
      </w:pPr>
      <w:r w:rsidRPr="004C30C0">
        <w:rPr>
          <w:sz w:val="20"/>
          <w:szCs w:val="20"/>
        </w:rPr>
        <w:t>Hofstein, A., Navon, O., Kipnis, M., &amp; Mamlok‐Naaman, R. (2005). Developing students' ability to ask more and better questions resulting from inquiry‐type chemistry laboratories. </w:t>
      </w:r>
      <w:r w:rsidRPr="004C30C0">
        <w:rPr>
          <w:i/>
          <w:iCs/>
          <w:sz w:val="20"/>
          <w:szCs w:val="20"/>
        </w:rPr>
        <w:t>Journal of research in science teaching</w:t>
      </w:r>
      <w:r w:rsidRPr="004C30C0">
        <w:rPr>
          <w:sz w:val="20"/>
          <w:szCs w:val="20"/>
        </w:rPr>
        <w:t>, </w:t>
      </w:r>
      <w:r w:rsidRPr="004C30C0">
        <w:rPr>
          <w:i/>
          <w:iCs/>
          <w:sz w:val="20"/>
          <w:szCs w:val="20"/>
        </w:rPr>
        <w:t>42</w:t>
      </w:r>
      <w:r w:rsidRPr="004C30C0">
        <w:rPr>
          <w:sz w:val="20"/>
          <w:szCs w:val="20"/>
        </w:rPr>
        <w:t>(7), 791-806.</w:t>
      </w:r>
    </w:p>
    <w:p w:rsidR="004C30C0" w:rsidRPr="004C30C0" w:rsidRDefault="004C30C0" w:rsidP="00747EFC">
      <w:pPr>
        <w:spacing w:after="0" w:line="480" w:lineRule="auto"/>
        <w:ind w:left="1440" w:hanging="720"/>
        <w:rPr>
          <w:sz w:val="20"/>
          <w:szCs w:val="20"/>
        </w:rPr>
      </w:pPr>
      <w:r w:rsidRPr="004C30C0">
        <w:rPr>
          <w:sz w:val="20"/>
          <w:szCs w:val="20"/>
        </w:rPr>
        <w:t xml:space="preserve">Mager, R. F. (1975). </w:t>
      </w:r>
      <w:r w:rsidRPr="004C30C0">
        <w:rPr>
          <w:i/>
          <w:sz w:val="20"/>
          <w:szCs w:val="20"/>
        </w:rPr>
        <w:t>Preparing Instructional Objectives</w:t>
      </w:r>
      <w:r w:rsidRPr="004C30C0">
        <w:rPr>
          <w:sz w:val="20"/>
          <w:szCs w:val="20"/>
        </w:rPr>
        <w:t xml:space="preserve">, Fearon, </w:t>
      </w:r>
      <w:r w:rsidRPr="004C30C0">
        <w:rPr>
          <w:iCs/>
          <w:sz w:val="20"/>
          <w:szCs w:val="20"/>
        </w:rPr>
        <w:t>California</w:t>
      </w:r>
      <w:r w:rsidRPr="004C30C0">
        <w:rPr>
          <w:sz w:val="20"/>
          <w:szCs w:val="20"/>
        </w:rPr>
        <w:t>.</w:t>
      </w:r>
    </w:p>
    <w:p w:rsidR="004C30C0" w:rsidRPr="004C30C0" w:rsidRDefault="004C30C0" w:rsidP="00747EFC">
      <w:pPr>
        <w:spacing w:after="0" w:line="480" w:lineRule="auto"/>
        <w:ind w:left="1440" w:hanging="720"/>
        <w:rPr>
          <w:sz w:val="20"/>
          <w:szCs w:val="20"/>
        </w:rPr>
      </w:pPr>
      <w:r w:rsidRPr="004C30C0">
        <w:rPr>
          <w:sz w:val="20"/>
          <w:szCs w:val="20"/>
        </w:rPr>
        <w:lastRenderedPageBreak/>
        <w:t xml:space="preserve">National Research Council (2012) </w:t>
      </w:r>
      <w:r w:rsidRPr="004C30C0">
        <w:rPr>
          <w:i/>
          <w:sz w:val="20"/>
          <w:szCs w:val="20"/>
        </w:rPr>
        <w:t>A framework for K-12 science education: practices, crosscutting concepts, and core ideas.</w:t>
      </w:r>
      <w:r w:rsidRPr="004C30C0">
        <w:rPr>
          <w:sz w:val="20"/>
          <w:szCs w:val="20"/>
        </w:rPr>
        <w:t xml:space="preserve"> The National Academies Press, Washington</w:t>
      </w:r>
    </w:p>
    <w:p w:rsidR="004C30C0" w:rsidRPr="004C30C0" w:rsidRDefault="004C30C0" w:rsidP="00747EFC">
      <w:pPr>
        <w:spacing w:after="0" w:line="480" w:lineRule="auto"/>
        <w:ind w:left="1440" w:hanging="720"/>
        <w:rPr>
          <w:sz w:val="20"/>
          <w:szCs w:val="20"/>
        </w:rPr>
      </w:pPr>
      <w:r w:rsidRPr="004C30C0">
        <w:rPr>
          <w:sz w:val="20"/>
          <w:szCs w:val="20"/>
        </w:rPr>
        <w:t>NGSS Lead States. (2013). </w:t>
      </w:r>
      <w:r w:rsidRPr="004C30C0">
        <w:rPr>
          <w:i/>
          <w:iCs/>
          <w:sz w:val="20"/>
          <w:szCs w:val="20"/>
        </w:rPr>
        <w:t>Next generation science standards: For states, by states</w:t>
      </w:r>
      <w:r w:rsidRPr="004C30C0">
        <w:rPr>
          <w:sz w:val="20"/>
          <w:szCs w:val="20"/>
        </w:rPr>
        <w:t>. National Academies Press.</w:t>
      </w:r>
    </w:p>
    <w:p w:rsidR="004C30C0" w:rsidRPr="004C30C0" w:rsidRDefault="004C30C0" w:rsidP="00747EFC">
      <w:pPr>
        <w:spacing w:after="0" w:line="480" w:lineRule="auto"/>
        <w:ind w:left="1440" w:hanging="720"/>
        <w:rPr>
          <w:sz w:val="20"/>
          <w:szCs w:val="20"/>
        </w:rPr>
      </w:pPr>
      <w:r w:rsidRPr="004C30C0">
        <w:rPr>
          <w:sz w:val="20"/>
          <w:szCs w:val="20"/>
        </w:rPr>
        <w:t>Pruitt, S. L. (2015). The next generation science standards: Where are we now and what have we learned?. </w:t>
      </w:r>
      <w:r w:rsidRPr="004C30C0">
        <w:rPr>
          <w:i/>
          <w:iCs/>
          <w:sz w:val="20"/>
          <w:szCs w:val="20"/>
        </w:rPr>
        <w:t>Science &amp; Children</w:t>
      </w:r>
      <w:r w:rsidRPr="004C30C0">
        <w:rPr>
          <w:sz w:val="20"/>
          <w:szCs w:val="20"/>
        </w:rPr>
        <w:t>, </w:t>
      </w:r>
      <w:r w:rsidRPr="004C30C0">
        <w:rPr>
          <w:i/>
          <w:iCs/>
          <w:sz w:val="20"/>
          <w:szCs w:val="20"/>
        </w:rPr>
        <w:t>52</w:t>
      </w:r>
      <w:r w:rsidRPr="004C30C0">
        <w:rPr>
          <w:sz w:val="20"/>
          <w:szCs w:val="20"/>
        </w:rPr>
        <w:t>(9), 7-9.</w:t>
      </w:r>
    </w:p>
    <w:p w:rsidR="00747EFC" w:rsidRDefault="004C30C0" w:rsidP="000D53A1">
      <w:pPr>
        <w:spacing w:after="0" w:line="480" w:lineRule="auto"/>
        <w:ind w:left="1440" w:hanging="720"/>
        <w:rPr>
          <w:sz w:val="20"/>
          <w:szCs w:val="20"/>
        </w:rPr>
      </w:pPr>
      <w:r w:rsidRPr="004C30C0">
        <w:rPr>
          <w:sz w:val="20"/>
          <w:szCs w:val="20"/>
        </w:rPr>
        <w:t>Schiro, M. (2012). </w:t>
      </w:r>
      <w:r w:rsidRPr="004C30C0">
        <w:rPr>
          <w:i/>
          <w:iCs/>
          <w:sz w:val="20"/>
          <w:szCs w:val="20"/>
        </w:rPr>
        <w:t>Curriculum theory: Conflicting visions and enduring concerns</w:t>
      </w:r>
      <w:r w:rsidRPr="004C30C0">
        <w:rPr>
          <w:sz w:val="20"/>
          <w:szCs w:val="20"/>
        </w:rPr>
        <w:t>. Sage.</w:t>
      </w:r>
      <w:bookmarkStart w:id="2" w:name="_GoBack"/>
      <w:bookmarkEnd w:id="2"/>
    </w:p>
    <w:sectPr w:rsidR="00747EFC" w:rsidSect="000D53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80F" w:rsidRDefault="00A0380F">
      <w:pPr>
        <w:spacing w:after="0" w:line="240" w:lineRule="auto"/>
      </w:pPr>
      <w:r>
        <w:separator/>
      </w:r>
    </w:p>
  </w:endnote>
  <w:endnote w:type="continuationSeparator" w:id="0">
    <w:p w:rsidR="00A0380F" w:rsidRDefault="00A0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80F" w:rsidRDefault="00A0380F">
      <w:pPr>
        <w:spacing w:after="0" w:line="240" w:lineRule="auto"/>
      </w:pPr>
      <w:r>
        <w:separator/>
      </w:r>
    </w:p>
  </w:footnote>
  <w:footnote w:type="continuationSeparator" w:id="0">
    <w:p w:rsidR="00A0380F" w:rsidRDefault="00A03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42505"/>
    <w:multiLevelType w:val="hybridMultilevel"/>
    <w:tmpl w:val="3D02E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2138"/>
    <w:multiLevelType w:val="hybridMultilevel"/>
    <w:tmpl w:val="0CCAF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756E72"/>
    <w:multiLevelType w:val="hybridMultilevel"/>
    <w:tmpl w:val="2AD45CA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64668"/>
    <w:multiLevelType w:val="hybridMultilevel"/>
    <w:tmpl w:val="3D02E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B3688"/>
    <w:multiLevelType w:val="hybridMultilevel"/>
    <w:tmpl w:val="59BC0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985C06"/>
    <w:multiLevelType w:val="hybridMultilevel"/>
    <w:tmpl w:val="2AD45CA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34165C"/>
    <w:multiLevelType w:val="hybridMultilevel"/>
    <w:tmpl w:val="3D02E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145FC2"/>
    <w:multiLevelType w:val="hybridMultilevel"/>
    <w:tmpl w:val="3D02E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EB52D7"/>
    <w:multiLevelType w:val="multilevel"/>
    <w:tmpl w:val="B37AE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E365028"/>
    <w:multiLevelType w:val="hybridMultilevel"/>
    <w:tmpl w:val="5C10608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F757D1"/>
    <w:multiLevelType w:val="hybridMultilevel"/>
    <w:tmpl w:val="2AD45CA8"/>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7B0CD5"/>
    <w:multiLevelType w:val="hybridMultilevel"/>
    <w:tmpl w:val="84FE7BE2"/>
    <w:lvl w:ilvl="0" w:tplc="D528DD20">
      <w:start w:val="1"/>
      <w:numFmt w:val="decimal"/>
      <w:pStyle w:val="Heading5"/>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B6A70"/>
    <w:multiLevelType w:val="hybridMultilevel"/>
    <w:tmpl w:val="5C10608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7605FE"/>
    <w:multiLevelType w:val="hybridMultilevel"/>
    <w:tmpl w:val="3D02E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B00113"/>
    <w:multiLevelType w:val="hybridMultilevel"/>
    <w:tmpl w:val="5C10608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6A304E"/>
    <w:multiLevelType w:val="hybridMultilevel"/>
    <w:tmpl w:val="5C10608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8015C9"/>
    <w:multiLevelType w:val="hybridMultilevel"/>
    <w:tmpl w:val="FD9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4"/>
  </w:num>
  <w:num w:numId="4">
    <w:abstractNumId w:val="1"/>
  </w:num>
  <w:num w:numId="5">
    <w:abstractNumId w:val="13"/>
  </w:num>
  <w:num w:numId="6">
    <w:abstractNumId w:val="15"/>
  </w:num>
  <w:num w:numId="7">
    <w:abstractNumId w:val="5"/>
  </w:num>
  <w:num w:numId="8">
    <w:abstractNumId w:val="3"/>
  </w:num>
  <w:num w:numId="9">
    <w:abstractNumId w:val="9"/>
  </w:num>
  <w:num w:numId="10">
    <w:abstractNumId w:val="10"/>
  </w:num>
  <w:num w:numId="11">
    <w:abstractNumId w:val="0"/>
  </w:num>
  <w:num w:numId="12">
    <w:abstractNumId w:val="14"/>
  </w:num>
  <w:num w:numId="13">
    <w:abstractNumId w:val="7"/>
  </w:num>
  <w:num w:numId="14">
    <w:abstractNumId w:val="12"/>
  </w:num>
  <w:num w:numId="15">
    <w:abstractNumId w:val="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A3D"/>
    <w:rsid w:val="000D53A1"/>
    <w:rsid w:val="00146EF2"/>
    <w:rsid w:val="0017017B"/>
    <w:rsid w:val="00256A77"/>
    <w:rsid w:val="002673FC"/>
    <w:rsid w:val="002C07CD"/>
    <w:rsid w:val="00302990"/>
    <w:rsid w:val="00347C50"/>
    <w:rsid w:val="00374423"/>
    <w:rsid w:val="003A7925"/>
    <w:rsid w:val="003B7BA0"/>
    <w:rsid w:val="00434082"/>
    <w:rsid w:val="0045385E"/>
    <w:rsid w:val="004C30C0"/>
    <w:rsid w:val="00613D3B"/>
    <w:rsid w:val="006954F7"/>
    <w:rsid w:val="006B3CF3"/>
    <w:rsid w:val="006D1F89"/>
    <w:rsid w:val="00746F24"/>
    <w:rsid w:val="00747EFC"/>
    <w:rsid w:val="008215B5"/>
    <w:rsid w:val="00852743"/>
    <w:rsid w:val="008F781A"/>
    <w:rsid w:val="00965329"/>
    <w:rsid w:val="009F26E7"/>
    <w:rsid w:val="00A0380F"/>
    <w:rsid w:val="00A31A19"/>
    <w:rsid w:val="00A41B60"/>
    <w:rsid w:val="00B92C2D"/>
    <w:rsid w:val="00BA7D83"/>
    <w:rsid w:val="00BF2F0B"/>
    <w:rsid w:val="00CB26BD"/>
    <w:rsid w:val="00D160D9"/>
    <w:rsid w:val="00D45EFE"/>
    <w:rsid w:val="00D721AD"/>
    <w:rsid w:val="00D81746"/>
    <w:rsid w:val="00D94A3D"/>
    <w:rsid w:val="00DA5AB9"/>
    <w:rsid w:val="00E10F36"/>
    <w:rsid w:val="00E45BDA"/>
    <w:rsid w:val="00EC0CA5"/>
    <w:rsid w:val="00F47632"/>
    <w:rsid w:val="00FA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611E99-35E9-4ED0-8F0C-F86CAFDE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A3D"/>
    <w:pPr>
      <w:spacing w:line="252" w:lineRule="auto"/>
    </w:pPr>
    <w:rPr>
      <w:rFonts w:asciiTheme="majorHAnsi" w:eastAsiaTheme="majorEastAsia" w:hAnsiTheme="majorHAnsi" w:cstheme="majorBidi"/>
      <w:lang w:bidi="en-US"/>
    </w:rPr>
  </w:style>
  <w:style w:type="paragraph" w:styleId="Heading1">
    <w:name w:val="heading 1"/>
    <w:basedOn w:val="Normal"/>
    <w:next w:val="Normal"/>
    <w:link w:val="Heading1Char"/>
    <w:uiPriority w:val="9"/>
    <w:qFormat/>
    <w:rsid w:val="00D94A3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D94A3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D94A3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5">
    <w:name w:val="heading 5"/>
    <w:basedOn w:val="Normal"/>
    <w:next w:val="Normal"/>
    <w:link w:val="Heading5Char"/>
    <w:uiPriority w:val="9"/>
    <w:unhideWhenUsed/>
    <w:qFormat/>
    <w:rsid w:val="00D94A3D"/>
    <w:pPr>
      <w:numPr>
        <w:numId w:val="1"/>
      </w:numPr>
      <w:spacing w:before="320" w:after="120"/>
      <w:outlineLvl w:val="4"/>
    </w:pPr>
    <w:rPr>
      <w:caps/>
      <w:color w:val="622423" w:themeColor="accent2" w:themeShade="7F"/>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3D"/>
    <w:rPr>
      <w:rFonts w:asciiTheme="majorHAnsi" w:eastAsiaTheme="majorEastAsia" w:hAnsiTheme="majorHAnsi" w:cstheme="majorBidi"/>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D94A3D"/>
    <w:rPr>
      <w:rFonts w:asciiTheme="majorHAnsi" w:eastAsiaTheme="majorEastAsia" w:hAnsiTheme="majorHAnsi" w:cstheme="majorBidi"/>
      <w:caps/>
      <w:color w:val="632423" w:themeColor="accent2" w:themeShade="80"/>
      <w:spacing w:val="15"/>
      <w:sz w:val="24"/>
      <w:szCs w:val="24"/>
      <w:lang w:bidi="en-US"/>
    </w:rPr>
  </w:style>
  <w:style w:type="character" w:customStyle="1" w:styleId="Heading3Char">
    <w:name w:val="Heading 3 Char"/>
    <w:basedOn w:val="DefaultParagraphFont"/>
    <w:link w:val="Heading3"/>
    <w:uiPriority w:val="9"/>
    <w:rsid w:val="00D94A3D"/>
    <w:rPr>
      <w:rFonts w:asciiTheme="majorHAnsi" w:eastAsiaTheme="majorEastAsia" w:hAnsiTheme="majorHAnsi" w:cstheme="majorBidi"/>
      <w:caps/>
      <w:color w:val="622423" w:themeColor="accent2" w:themeShade="7F"/>
      <w:sz w:val="24"/>
      <w:szCs w:val="24"/>
      <w:lang w:bidi="en-US"/>
    </w:rPr>
  </w:style>
  <w:style w:type="character" w:customStyle="1" w:styleId="Heading5Char">
    <w:name w:val="Heading 5 Char"/>
    <w:basedOn w:val="DefaultParagraphFont"/>
    <w:link w:val="Heading5"/>
    <w:uiPriority w:val="9"/>
    <w:rsid w:val="00D94A3D"/>
    <w:rPr>
      <w:rFonts w:asciiTheme="majorHAnsi" w:eastAsiaTheme="majorEastAsia" w:hAnsiTheme="majorHAnsi" w:cstheme="majorBidi"/>
      <w:caps/>
      <w:color w:val="622423" w:themeColor="accent2" w:themeShade="7F"/>
      <w:spacing w:val="10"/>
      <w:lang w:bidi="en-US"/>
    </w:rPr>
  </w:style>
  <w:style w:type="paragraph" w:styleId="ListParagraph">
    <w:name w:val="List Paragraph"/>
    <w:basedOn w:val="Normal"/>
    <w:uiPriority w:val="34"/>
    <w:qFormat/>
    <w:rsid w:val="00D94A3D"/>
    <w:pPr>
      <w:ind w:left="720"/>
      <w:contextualSpacing/>
    </w:pPr>
  </w:style>
  <w:style w:type="character" w:styleId="Hyperlink">
    <w:name w:val="Hyperlink"/>
    <w:basedOn w:val="DefaultParagraphFont"/>
    <w:uiPriority w:val="99"/>
    <w:unhideWhenUsed/>
    <w:rsid w:val="00D94A3D"/>
    <w:rPr>
      <w:color w:val="0000FF" w:themeColor="hyperlink"/>
      <w:u w:val="single"/>
    </w:rPr>
  </w:style>
  <w:style w:type="character" w:styleId="SubtleReference">
    <w:name w:val="Subtle Reference"/>
    <w:basedOn w:val="DefaultParagraphFont"/>
    <w:uiPriority w:val="31"/>
    <w:qFormat/>
    <w:rsid w:val="00D94A3D"/>
    <w:rPr>
      <w:rFonts w:asciiTheme="minorHAnsi" w:eastAsiaTheme="minorEastAsia" w:hAnsiTheme="minorHAnsi" w:cstheme="minorBidi"/>
      <w:i/>
      <w:iCs/>
      <w:color w:val="622423" w:themeColor="accent2" w:themeShade="7F"/>
    </w:rPr>
  </w:style>
  <w:style w:type="table" w:styleId="TableGrid">
    <w:name w:val="Table Grid"/>
    <w:basedOn w:val="TableNormal"/>
    <w:uiPriority w:val="39"/>
    <w:rsid w:val="00D94A3D"/>
    <w:pPr>
      <w:spacing w:after="0" w:line="240" w:lineRule="auto"/>
    </w:pPr>
    <w:rPr>
      <w:rFonts w:asciiTheme="majorHAnsi" w:eastAsiaTheme="majorEastAsia" w:hAnsiTheme="majorHAnsi" w:cstheme="majorBid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D94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A3D"/>
    <w:rPr>
      <w:rFonts w:asciiTheme="majorHAnsi" w:eastAsiaTheme="majorEastAsia" w:hAnsiTheme="majorHAnsi" w:cstheme="majorBidi"/>
      <w:lang w:bidi="en-US"/>
    </w:rPr>
  </w:style>
  <w:style w:type="paragraph" w:styleId="BalloonText">
    <w:name w:val="Balloon Text"/>
    <w:basedOn w:val="Normal"/>
    <w:link w:val="BalloonTextChar"/>
    <w:uiPriority w:val="99"/>
    <w:semiHidden/>
    <w:unhideWhenUsed/>
    <w:rsid w:val="00D94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A3D"/>
    <w:rPr>
      <w:rFonts w:ascii="Tahoma" w:eastAsiaTheme="majorEastAsia" w:hAnsi="Tahoma" w:cs="Tahoma"/>
      <w:sz w:val="16"/>
      <w:szCs w:val="16"/>
      <w:lang w:bidi="en-US"/>
    </w:rPr>
  </w:style>
  <w:style w:type="paragraph" w:styleId="Header">
    <w:name w:val="header"/>
    <w:basedOn w:val="Normal"/>
    <w:link w:val="HeaderChar"/>
    <w:uiPriority w:val="99"/>
    <w:unhideWhenUsed/>
    <w:rsid w:val="00821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5B5"/>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38726">
      <w:bodyDiv w:val="1"/>
      <w:marLeft w:val="0"/>
      <w:marRight w:val="0"/>
      <w:marTop w:val="0"/>
      <w:marBottom w:val="0"/>
      <w:divBdr>
        <w:top w:val="none" w:sz="0" w:space="0" w:color="auto"/>
        <w:left w:val="none" w:sz="0" w:space="0" w:color="auto"/>
        <w:bottom w:val="none" w:sz="0" w:space="0" w:color="auto"/>
        <w:right w:val="none" w:sz="0" w:space="0" w:color="auto"/>
      </w:divBdr>
      <w:divsChild>
        <w:div w:id="822044453">
          <w:marLeft w:val="1267"/>
          <w:marRight w:val="0"/>
          <w:marTop w:val="0"/>
          <w:marBottom w:val="240"/>
          <w:divBdr>
            <w:top w:val="none" w:sz="0" w:space="0" w:color="auto"/>
            <w:left w:val="none" w:sz="0" w:space="0" w:color="auto"/>
            <w:bottom w:val="none" w:sz="0" w:space="0" w:color="auto"/>
            <w:right w:val="none" w:sz="0" w:space="0" w:color="auto"/>
          </w:divBdr>
        </w:div>
        <w:div w:id="494540591">
          <w:marLeft w:val="1987"/>
          <w:marRight w:val="0"/>
          <w:marTop w:val="0"/>
          <w:marBottom w:val="240"/>
          <w:divBdr>
            <w:top w:val="none" w:sz="0" w:space="0" w:color="auto"/>
            <w:left w:val="none" w:sz="0" w:space="0" w:color="auto"/>
            <w:bottom w:val="none" w:sz="0" w:space="0" w:color="auto"/>
            <w:right w:val="none" w:sz="0" w:space="0" w:color="auto"/>
          </w:divBdr>
        </w:div>
        <w:div w:id="1008099039">
          <w:marLeft w:val="1987"/>
          <w:marRight w:val="0"/>
          <w:marTop w:val="0"/>
          <w:marBottom w:val="240"/>
          <w:divBdr>
            <w:top w:val="none" w:sz="0" w:space="0" w:color="auto"/>
            <w:left w:val="none" w:sz="0" w:space="0" w:color="auto"/>
            <w:bottom w:val="none" w:sz="0" w:space="0" w:color="auto"/>
            <w:right w:val="none" w:sz="0" w:space="0" w:color="auto"/>
          </w:divBdr>
        </w:div>
        <w:div w:id="213129250">
          <w:marLeft w:val="1987"/>
          <w:marRight w:val="0"/>
          <w:marTop w:val="0"/>
          <w:marBottom w:val="240"/>
          <w:divBdr>
            <w:top w:val="none" w:sz="0" w:space="0" w:color="auto"/>
            <w:left w:val="none" w:sz="0" w:space="0" w:color="auto"/>
            <w:bottom w:val="none" w:sz="0" w:space="0" w:color="auto"/>
            <w:right w:val="none" w:sz="0" w:space="0" w:color="auto"/>
          </w:divBdr>
        </w:div>
        <w:div w:id="2066104515">
          <w:marLeft w:val="1987"/>
          <w:marRight w:val="0"/>
          <w:marTop w:val="0"/>
          <w:marBottom w:val="240"/>
          <w:divBdr>
            <w:top w:val="none" w:sz="0" w:space="0" w:color="auto"/>
            <w:left w:val="none" w:sz="0" w:space="0" w:color="auto"/>
            <w:bottom w:val="none" w:sz="0" w:space="0" w:color="auto"/>
            <w:right w:val="none" w:sz="0" w:space="0" w:color="auto"/>
          </w:divBdr>
        </w:div>
        <w:div w:id="1704361875">
          <w:marLeft w:val="1987"/>
          <w:marRight w:val="0"/>
          <w:marTop w:val="0"/>
          <w:marBottom w:val="240"/>
          <w:divBdr>
            <w:top w:val="none" w:sz="0" w:space="0" w:color="auto"/>
            <w:left w:val="none" w:sz="0" w:space="0" w:color="auto"/>
            <w:bottom w:val="none" w:sz="0" w:space="0" w:color="auto"/>
            <w:right w:val="none" w:sz="0" w:space="0" w:color="auto"/>
          </w:divBdr>
        </w:div>
        <w:div w:id="1940529255">
          <w:marLeft w:val="1987"/>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ic.edu/administration/pdf/College_handbook_Chapter_3.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sta.org/store/product_detail.aspx?id=10.2505/978030927227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kraus@ric.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NUL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ric.edu/disabilityservices/faq.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rau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20C5-16AC-44DB-840F-D893C1C3C474}">
  <ds:schemaRefs>
    <ds:schemaRef ds:uri="urn:schemas-microsoft-com.VSTO2008Demos.ControlsStorage"/>
  </ds:schemaRefs>
</ds:datastoreItem>
</file>

<file path=customXml/itemProps2.xml><?xml version="1.0" encoding="utf-8"?>
<ds:datastoreItem xmlns:ds="http://schemas.openxmlformats.org/officeDocument/2006/customXml" ds:itemID="{06966420-2FB2-4F9E-AEC6-298F5A84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rkraus</dc:creator>
  <cp:lastModifiedBy>Lesley Shapiro</cp:lastModifiedBy>
  <cp:revision>2</cp:revision>
  <dcterms:created xsi:type="dcterms:W3CDTF">2018-05-11T19:18:00Z</dcterms:created>
  <dcterms:modified xsi:type="dcterms:W3CDTF">2018-05-11T19:18:00Z</dcterms:modified>
</cp:coreProperties>
</file>